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F4E8E" w14:textId="77777777" w:rsidR="006C721E" w:rsidRDefault="006C721E" w:rsidP="006C721E">
      <w:pPr>
        <w:pStyle w:val="Default"/>
        <w:rPr>
          <w:rFonts w:asciiTheme="minorHAnsi" w:hAnsiTheme="minorHAnsi"/>
        </w:rPr>
      </w:pPr>
    </w:p>
    <w:p w14:paraId="5BD577B9" w14:textId="77777777" w:rsidR="00B35EE7" w:rsidRPr="00743F00" w:rsidRDefault="00B35EE7" w:rsidP="006C721E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b/>
          <w:bCs/>
          <w:sz w:val="22"/>
          <w:szCs w:val="22"/>
        </w:rPr>
        <w:t xml:space="preserve">Standard oraz ceny rynkowe najczęściej finansowanych wydatków w projektach w ramach Poddziałania </w:t>
      </w:r>
      <w:r w:rsidR="00B57239">
        <w:rPr>
          <w:rFonts w:asciiTheme="minorHAnsi" w:hAnsiTheme="minorHAnsi"/>
          <w:b/>
          <w:bCs/>
          <w:sz w:val="22"/>
          <w:szCs w:val="22"/>
        </w:rPr>
        <w:t>10</w:t>
      </w:r>
      <w:r w:rsidR="006D20E2">
        <w:rPr>
          <w:rFonts w:asciiTheme="minorHAnsi" w:hAnsiTheme="minorHAnsi"/>
          <w:b/>
          <w:bCs/>
          <w:sz w:val="22"/>
          <w:szCs w:val="22"/>
        </w:rPr>
        <w:t>.</w:t>
      </w:r>
      <w:r w:rsidR="00A142E0">
        <w:rPr>
          <w:rFonts w:asciiTheme="minorHAnsi" w:hAnsiTheme="minorHAnsi"/>
          <w:b/>
          <w:bCs/>
          <w:sz w:val="22"/>
          <w:szCs w:val="22"/>
        </w:rPr>
        <w:t>2</w:t>
      </w:r>
      <w:r w:rsidR="006D20E2">
        <w:rPr>
          <w:rFonts w:asciiTheme="minorHAnsi" w:hAnsiTheme="minorHAnsi"/>
          <w:b/>
          <w:bCs/>
          <w:sz w:val="22"/>
          <w:szCs w:val="22"/>
        </w:rPr>
        <w:t>.</w:t>
      </w:r>
      <w:r w:rsidR="00B57239">
        <w:rPr>
          <w:rFonts w:asciiTheme="minorHAnsi" w:hAnsiTheme="minorHAnsi"/>
          <w:b/>
          <w:bCs/>
          <w:sz w:val="22"/>
          <w:szCs w:val="22"/>
        </w:rPr>
        <w:t>3</w:t>
      </w:r>
    </w:p>
    <w:p w14:paraId="275EE1C1" w14:textId="77777777" w:rsidR="00B35EE7" w:rsidRPr="00743F00" w:rsidRDefault="00B35EE7" w:rsidP="00B35EE7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E077204" w14:textId="77777777" w:rsidR="003F48CD" w:rsidRPr="00743F00" w:rsidRDefault="003F48CD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>Dokument ten określa k</w:t>
      </w:r>
      <w:r w:rsidR="00B35EE7" w:rsidRPr="00743F00">
        <w:rPr>
          <w:rFonts w:asciiTheme="minorHAnsi" w:hAnsiTheme="minorHAnsi"/>
          <w:sz w:val="22"/>
          <w:szCs w:val="22"/>
        </w:rPr>
        <w:t xml:space="preserve">atalog </w:t>
      </w:r>
      <w:r w:rsidRPr="00743F00">
        <w:rPr>
          <w:rFonts w:asciiTheme="minorHAnsi" w:hAnsiTheme="minorHAnsi"/>
          <w:sz w:val="22"/>
          <w:szCs w:val="22"/>
        </w:rPr>
        <w:t xml:space="preserve">najczęściej finansowanych kosztów w ramach Poddziałania </w:t>
      </w:r>
      <w:r w:rsidR="00B57239">
        <w:rPr>
          <w:rFonts w:asciiTheme="minorHAnsi" w:hAnsiTheme="minorHAnsi"/>
          <w:sz w:val="22"/>
          <w:szCs w:val="22"/>
        </w:rPr>
        <w:t>10</w:t>
      </w:r>
      <w:r w:rsidR="00A40CD2" w:rsidRPr="00743F00">
        <w:rPr>
          <w:rFonts w:asciiTheme="minorHAnsi" w:hAnsiTheme="minorHAnsi"/>
          <w:sz w:val="22"/>
          <w:szCs w:val="22"/>
        </w:rPr>
        <w:t>.</w:t>
      </w:r>
      <w:r w:rsidR="00A142E0">
        <w:rPr>
          <w:rFonts w:asciiTheme="minorHAnsi" w:hAnsiTheme="minorHAnsi"/>
          <w:sz w:val="22"/>
          <w:szCs w:val="22"/>
        </w:rPr>
        <w:t>2</w:t>
      </w:r>
      <w:r w:rsidR="00A40CD2" w:rsidRPr="00743F00">
        <w:rPr>
          <w:rFonts w:asciiTheme="minorHAnsi" w:hAnsiTheme="minorHAnsi"/>
          <w:sz w:val="22"/>
          <w:szCs w:val="22"/>
        </w:rPr>
        <w:t>.</w:t>
      </w:r>
      <w:r w:rsidR="00B57239">
        <w:rPr>
          <w:rFonts w:asciiTheme="minorHAnsi" w:hAnsiTheme="minorHAnsi"/>
          <w:sz w:val="22"/>
          <w:szCs w:val="22"/>
        </w:rPr>
        <w:t>3</w:t>
      </w:r>
      <w:r w:rsidR="008A13A2" w:rsidRPr="00743F00">
        <w:rPr>
          <w:rFonts w:asciiTheme="minorHAnsi" w:hAnsiTheme="minorHAnsi"/>
          <w:sz w:val="22"/>
          <w:szCs w:val="22"/>
        </w:rPr>
        <w:t xml:space="preserve"> </w:t>
      </w:r>
      <w:r w:rsidRPr="00743F00">
        <w:rPr>
          <w:rFonts w:asciiTheme="minorHAnsi" w:hAnsiTheme="minorHAnsi"/>
          <w:sz w:val="22"/>
          <w:szCs w:val="22"/>
        </w:rPr>
        <w:t xml:space="preserve">oraz zawiera zalecenia odnośnie </w:t>
      </w:r>
      <w:r w:rsidR="006B1E5B" w:rsidRPr="00743F00">
        <w:rPr>
          <w:rFonts w:asciiTheme="minorHAnsi" w:hAnsiTheme="minorHAnsi"/>
          <w:sz w:val="22"/>
          <w:szCs w:val="22"/>
        </w:rPr>
        <w:t xml:space="preserve">do </w:t>
      </w:r>
      <w:r w:rsidRPr="00743F00">
        <w:rPr>
          <w:rFonts w:asciiTheme="minorHAnsi" w:hAnsiTheme="minorHAnsi"/>
          <w:sz w:val="22"/>
          <w:szCs w:val="22"/>
        </w:rPr>
        <w:t>zasad konstruowania budżetu szczegółowego projektu.</w:t>
      </w:r>
    </w:p>
    <w:p w14:paraId="7EADF989" w14:textId="77777777" w:rsidR="003F48CD" w:rsidRPr="00743F00" w:rsidRDefault="003F48CD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734B0729" w14:textId="77777777" w:rsidR="00B35EE7" w:rsidRPr="00743F00" w:rsidRDefault="003F48CD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>Katalog kosztów nie ma charakteru zamkniętego</w:t>
      </w:r>
      <w:r w:rsidR="00B35EE7" w:rsidRPr="00743F00">
        <w:rPr>
          <w:rFonts w:asciiTheme="minorHAnsi" w:hAnsiTheme="minorHAnsi"/>
          <w:sz w:val="22"/>
          <w:szCs w:val="22"/>
        </w:rPr>
        <w:t>. Dopuszczalne jest ujmowanie w projekcie innych kosztów, które są niezbędne do jego realizacji. Stawki wyszczególnione w zestawieniu są stawkami maksymalnymi, jednak nie oznacza to automatycznego akceptowania przez oceniających stawek założonych na maksymalnym poziomie (brane pod uwagę będą takie czynniki jak: specyfika projektu, stopień złożoności projektu, wielkość grupy docelowej, miejsce realizacji</w:t>
      </w:r>
      <w:r w:rsidR="00EB032C" w:rsidRPr="00743F00">
        <w:rPr>
          <w:rFonts w:asciiTheme="minorHAnsi" w:hAnsiTheme="minorHAnsi"/>
          <w:sz w:val="22"/>
          <w:szCs w:val="22"/>
        </w:rPr>
        <w:t xml:space="preserve"> itp.</w:t>
      </w:r>
      <w:r w:rsidR="00B35EE7" w:rsidRPr="00743F00">
        <w:rPr>
          <w:rFonts w:asciiTheme="minorHAnsi" w:hAnsiTheme="minorHAnsi"/>
          <w:sz w:val="22"/>
          <w:szCs w:val="22"/>
        </w:rPr>
        <w:t xml:space="preserve">). </w:t>
      </w:r>
    </w:p>
    <w:p w14:paraId="205E9C9E" w14:textId="77777777" w:rsidR="003F48CD" w:rsidRPr="00743F00" w:rsidRDefault="003F48CD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68AB2274" w14:textId="77777777" w:rsidR="003F48CD" w:rsidRDefault="00B35EE7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>Kwoty ujęte w zestawieniu uwzględniają wartość brutto wydatku</w:t>
      </w:r>
      <w:r w:rsidR="004718E5" w:rsidRPr="00743F00">
        <w:rPr>
          <w:rFonts w:asciiTheme="minorHAnsi" w:hAnsiTheme="minorHAnsi"/>
          <w:sz w:val="22"/>
          <w:szCs w:val="22"/>
        </w:rPr>
        <w:t xml:space="preserve"> (z wyjątkiem wynagrodzeń, które są szacowane z uwzględnieniem kosztów pracodawcy)</w:t>
      </w:r>
      <w:r w:rsidRPr="00743F00">
        <w:rPr>
          <w:rFonts w:asciiTheme="minorHAnsi" w:hAnsiTheme="minorHAnsi"/>
          <w:sz w:val="22"/>
          <w:szCs w:val="22"/>
        </w:rPr>
        <w:t xml:space="preserve">. </w:t>
      </w:r>
      <w:r w:rsidR="00360451" w:rsidRPr="00743F00">
        <w:rPr>
          <w:rFonts w:asciiTheme="minorHAnsi" w:hAnsiTheme="minorHAnsi"/>
          <w:sz w:val="22"/>
          <w:szCs w:val="22"/>
        </w:rPr>
        <w:t>Niemniej, wydatki na wynagrodzenie personelu są kwalifikowalne pod warunkiem, że ich wysokość odpowiada stawkom faktycznie stosowanym u wnioskodawcy/beneficjenta poza projektami współfinansowanymi z funduszy strukturalnych i F</w:t>
      </w:r>
      <w:r w:rsidR="00BD26B5">
        <w:rPr>
          <w:rFonts w:asciiTheme="minorHAnsi" w:hAnsiTheme="minorHAnsi"/>
          <w:sz w:val="22"/>
          <w:szCs w:val="22"/>
        </w:rPr>
        <w:t xml:space="preserve">unduszu </w:t>
      </w:r>
      <w:r w:rsidR="00360451" w:rsidRPr="00743F00">
        <w:rPr>
          <w:rFonts w:asciiTheme="minorHAnsi" w:hAnsiTheme="minorHAnsi"/>
          <w:sz w:val="22"/>
          <w:szCs w:val="22"/>
        </w:rPr>
        <w:t>S</w:t>
      </w:r>
      <w:r w:rsidR="00BD26B5">
        <w:rPr>
          <w:rFonts w:asciiTheme="minorHAnsi" w:hAnsiTheme="minorHAnsi"/>
          <w:sz w:val="22"/>
          <w:szCs w:val="22"/>
        </w:rPr>
        <w:t>pójności</w:t>
      </w:r>
      <w:r w:rsidR="00360451" w:rsidRPr="00743F00">
        <w:rPr>
          <w:rFonts w:asciiTheme="minorHAnsi" w:hAnsiTheme="minorHAnsi"/>
          <w:sz w:val="22"/>
          <w:szCs w:val="22"/>
        </w:rPr>
        <w:t xml:space="preserve"> na analogicznych stanowiskach lub na stanowiskach wymagających analogicznych kwalifikacji.</w:t>
      </w:r>
    </w:p>
    <w:p w14:paraId="085599CE" w14:textId="77777777" w:rsidR="00D6604D" w:rsidRDefault="00D6604D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4961"/>
      </w:tblGrid>
      <w:tr w:rsidR="00827C4A" w:rsidRPr="00EE3BC9" w14:paraId="7476A56F" w14:textId="77777777" w:rsidTr="00827C4A">
        <w:trPr>
          <w:trHeight w:val="504"/>
        </w:trPr>
        <w:tc>
          <w:tcPr>
            <w:tcW w:w="2268" w:type="dxa"/>
            <w:shd w:val="clear" w:color="auto" w:fill="D9D9D9" w:themeFill="background1" w:themeFillShade="D9"/>
          </w:tcPr>
          <w:p w14:paraId="56FA2942" w14:textId="77777777" w:rsidR="00827C4A" w:rsidRPr="00EE3BC9" w:rsidRDefault="00827C4A" w:rsidP="00DE5114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E3BC9">
              <w:rPr>
                <w:rFonts w:asciiTheme="minorHAnsi" w:hAnsiTheme="minorHAnsi"/>
                <w:b/>
                <w:bCs/>
                <w:sz w:val="22"/>
                <w:szCs w:val="22"/>
              </w:rPr>
              <w:t>Rodzaj kosztu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60DB65F" w14:textId="77777777" w:rsidR="00827C4A" w:rsidRPr="00EE3BC9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3BC9">
              <w:rPr>
                <w:rFonts w:asciiTheme="minorHAnsi" w:hAnsiTheme="minorHAnsi"/>
                <w:b/>
                <w:bCs/>
                <w:sz w:val="22"/>
                <w:szCs w:val="22"/>
              </w:rPr>
              <w:t>Maksymalny koszt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671A3BD7" w14:textId="77777777" w:rsidR="00827C4A" w:rsidRPr="00EE3BC9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3BC9">
              <w:rPr>
                <w:rFonts w:asciiTheme="minorHAnsi" w:hAnsiTheme="minorHAnsi"/>
                <w:b/>
                <w:bCs/>
                <w:sz w:val="22"/>
                <w:szCs w:val="22"/>
              </w:rPr>
              <w:t>Oczekiwany standard/Uzasadnienie</w:t>
            </w:r>
          </w:p>
        </w:tc>
      </w:tr>
      <w:tr w:rsidR="00827C4A" w:rsidRPr="00EE3BC9" w14:paraId="1F4DF452" w14:textId="77777777" w:rsidTr="00827C4A">
        <w:trPr>
          <w:trHeight w:val="690"/>
        </w:trPr>
        <w:tc>
          <w:tcPr>
            <w:tcW w:w="2268" w:type="dxa"/>
          </w:tcPr>
          <w:p w14:paraId="06B5769C" w14:textId="77777777" w:rsidR="00827C4A" w:rsidRPr="00EE3BC9" w:rsidRDefault="00827C4A" w:rsidP="00DE5114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Wynagrodzenie nauczycieli prowadzących zajęcia</w:t>
            </w:r>
          </w:p>
        </w:tc>
        <w:tc>
          <w:tcPr>
            <w:tcW w:w="1843" w:type="dxa"/>
          </w:tcPr>
          <w:p w14:paraId="7A93E5B5" w14:textId="77777777" w:rsidR="00827C4A" w:rsidRPr="00EE3BC9" w:rsidRDefault="00702999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 wysokości zgodnej z art. 35a Ustawy – Karta Nauczyciela lub art. 16 Ustawy – Prawo oświatowe</w:t>
            </w:r>
          </w:p>
        </w:tc>
        <w:tc>
          <w:tcPr>
            <w:tcW w:w="4961" w:type="dxa"/>
          </w:tcPr>
          <w:p w14:paraId="16E042F3" w14:textId="77777777" w:rsidR="00827C4A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przypadku </w:t>
            </w:r>
            <w:r w:rsidRPr="00DF35B8">
              <w:rPr>
                <w:rFonts w:asciiTheme="minorHAnsi" w:hAnsiTheme="minorHAnsi"/>
                <w:sz w:val="22"/>
                <w:szCs w:val="22"/>
              </w:rPr>
              <w:t>przydzielenia zajęć zgodnie z art. 35a Ustawy – Karta Nauczyciel</w:t>
            </w:r>
            <w:r>
              <w:rPr>
                <w:rFonts w:asciiTheme="minorHAnsi" w:hAnsiTheme="minorHAnsi"/>
                <w:sz w:val="22"/>
                <w:szCs w:val="22"/>
              </w:rPr>
              <w:t>a z</w:t>
            </w:r>
            <w:r w:rsidRPr="000B6E59">
              <w:rPr>
                <w:rFonts w:asciiTheme="minorHAnsi" w:hAnsiTheme="minorHAnsi"/>
                <w:sz w:val="22"/>
                <w:szCs w:val="22"/>
              </w:rPr>
              <w:t>a każdą godzinę prowadzenia zajęć bezpośrednio z uczniami lub na ich rzecz nauczycielowi przysługuje wynagrodzenie w wysokości ustalonej jak za godziny ponadwymiarowe i godziny doraźnych zastępstw, w sposób określony w art. 35 ust. 3 Ustawy z dnia 26 stycznia 1982 r. – Karta Nauczyciela (według stawki osobistego wynagrodzenia z uwzględni</w:t>
            </w:r>
            <w:r>
              <w:rPr>
                <w:rFonts w:asciiTheme="minorHAnsi" w:hAnsiTheme="minorHAnsi"/>
                <w:sz w:val="22"/>
                <w:szCs w:val="22"/>
              </w:rPr>
              <w:t>eniem dodatku za warunki pracy).</w:t>
            </w:r>
          </w:p>
          <w:p w14:paraId="347510DC" w14:textId="77777777" w:rsidR="00827C4A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A14A4B0" w14:textId="77777777" w:rsidR="00827C4A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przypadku </w:t>
            </w:r>
            <w:r w:rsidRPr="00DF35B8">
              <w:rPr>
                <w:rFonts w:asciiTheme="minorHAnsi" w:hAnsiTheme="minorHAnsi"/>
                <w:sz w:val="22"/>
                <w:szCs w:val="22"/>
              </w:rPr>
              <w:t>zatrudnienia nauczyciela z innej szkoły lub placówki zgodnie z art. 16 Ustawy – Prawo oświatowe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F35B8">
              <w:rPr>
                <w:rFonts w:asciiTheme="minorHAnsi" w:hAnsiTheme="minorHAnsi"/>
                <w:sz w:val="22"/>
                <w:szCs w:val="22"/>
              </w:rPr>
              <w:t>za każdą godzinę prowadzenia zajęć bezpośrednio z uczniami lub na ich rzecz nauczycielowi przysługuje wynagrodzenie nie wyższe niż wynagrodzenie za jedną godzinę prowadzenia zajęć ustalone w sposób określony w art. 35 ust. 3 Ustawy – Karta Nauczyciela dla nauczyciela dyplomowanego posiadającego wykształcenie wyższe i tytuł zawodowy magister, magister inżynier lub równorzędny oraz realizującego tygodniowy obowiązkowy wymiar godzin zajęć, o którym mowa w art. 42 ust. 3 w tabeli w lp. 3  Ustawy – Karta Nauczyciela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4FEA278" w14:textId="77777777" w:rsidR="00827C4A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7ABA7B7" w14:textId="77777777" w:rsidR="00827C4A" w:rsidRPr="00EE3BC9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W uzasadnieniu kosztu należy wskazać </w:t>
            </w:r>
            <w:r w:rsidRPr="00166A9D">
              <w:rPr>
                <w:rFonts w:asciiTheme="minorHAnsi" w:hAnsiTheme="minorHAnsi"/>
                <w:sz w:val="22"/>
                <w:szCs w:val="22"/>
              </w:rPr>
              <w:t>przepis prawa (</w:t>
            </w:r>
            <w:r w:rsidR="00702999">
              <w:rPr>
                <w:rFonts w:asciiTheme="minorHAnsi" w:hAnsiTheme="minorHAnsi"/>
                <w:sz w:val="22"/>
                <w:szCs w:val="22"/>
              </w:rPr>
              <w:t xml:space="preserve">np. </w:t>
            </w:r>
            <w:r w:rsidRPr="00166A9D">
              <w:rPr>
                <w:rFonts w:asciiTheme="minorHAnsi" w:hAnsiTheme="minorHAnsi"/>
                <w:sz w:val="22"/>
                <w:szCs w:val="22"/>
              </w:rPr>
              <w:t xml:space="preserve">art. 35a </w:t>
            </w:r>
            <w:r w:rsidR="00702999">
              <w:rPr>
                <w:rFonts w:asciiTheme="minorHAnsi" w:hAnsiTheme="minorHAnsi"/>
                <w:sz w:val="22"/>
                <w:szCs w:val="22"/>
              </w:rPr>
              <w:t>U</w:t>
            </w:r>
            <w:r w:rsidRPr="00166A9D">
              <w:rPr>
                <w:rFonts w:asciiTheme="minorHAnsi" w:hAnsiTheme="minorHAnsi"/>
                <w:sz w:val="22"/>
                <w:szCs w:val="22"/>
              </w:rPr>
              <w:t xml:space="preserve">stawy – Karta Nauczyciela albo art. 16 </w:t>
            </w:r>
            <w:r w:rsidR="00702999">
              <w:rPr>
                <w:rFonts w:asciiTheme="minorHAnsi" w:hAnsiTheme="minorHAnsi"/>
                <w:sz w:val="22"/>
                <w:szCs w:val="22"/>
              </w:rPr>
              <w:t>U</w:t>
            </w:r>
            <w:r w:rsidRPr="00166A9D">
              <w:rPr>
                <w:rFonts w:asciiTheme="minorHAnsi" w:hAnsiTheme="minorHAnsi"/>
                <w:sz w:val="22"/>
                <w:szCs w:val="22"/>
              </w:rPr>
              <w:t>stawy – Prawo oświatowe) stanowiący podstawę zatrudnienia nauczyciel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166A9D">
              <w:rPr>
                <w:rFonts w:asciiTheme="minorHAnsi" w:hAnsiTheme="minorHAnsi"/>
                <w:sz w:val="22"/>
                <w:szCs w:val="22"/>
              </w:rPr>
              <w:t xml:space="preserve"> w projekcie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827C4A" w:rsidRPr="00EE3BC9" w14:paraId="6E50FFD8" w14:textId="77777777" w:rsidTr="00827C4A">
        <w:trPr>
          <w:trHeight w:val="558"/>
        </w:trPr>
        <w:tc>
          <w:tcPr>
            <w:tcW w:w="2268" w:type="dxa"/>
          </w:tcPr>
          <w:p w14:paraId="0CA2A34B" w14:textId="77777777" w:rsidR="00827C4A" w:rsidRPr="00EE3BC9" w:rsidRDefault="00827C4A" w:rsidP="00DE5114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B2BE2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 xml:space="preserve">Refundacja wynagrodzenia/ dodatku do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wynagrodzenia opiekuna stażysty</w:t>
            </w:r>
          </w:p>
        </w:tc>
        <w:tc>
          <w:tcPr>
            <w:tcW w:w="1843" w:type="dxa"/>
          </w:tcPr>
          <w:p w14:paraId="565F1BE2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a) </w:t>
            </w:r>
            <w:r w:rsidR="00702999">
              <w:rPr>
                <w:rFonts w:asciiTheme="minorHAnsi" w:hAnsiTheme="minorHAnsi"/>
                <w:sz w:val="22"/>
                <w:szCs w:val="22"/>
              </w:rPr>
              <w:t xml:space="preserve">do wysokości 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="00702999">
              <w:rPr>
                <w:rFonts w:asciiTheme="minorHAnsi" w:hAnsiTheme="minorHAnsi"/>
                <w:sz w:val="22"/>
                <w:szCs w:val="22"/>
              </w:rPr>
              <w:t> </w:t>
            </w:r>
            <w:r w:rsidRPr="001B2BE2">
              <w:rPr>
                <w:rFonts w:asciiTheme="minorHAnsi" w:hAnsiTheme="minorHAnsi"/>
                <w:sz w:val="22"/>
                <w:szCs w:val="22"/>
              </w:rPr>
              <w:t>000 zł/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1B2BE2">
              <w:rPr>
                <w:rFonts w:asciiTheme="minorHAnsi" w:hAnsiTheme="minorHAnsi"/>
                <w:sz w:val="22"/>
                <w:szCs w:val="22"/>
              </w:rPr>
              <w:t>opiekun</w:t>
            </w:r>
          </w:p>
          <w:p w14:paraId="19BD8A51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176FF768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D730A2D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015A3F70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7E404C0E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03B2A0EA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76D3D858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81F8FAC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DD77BF2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EBAD12D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1FF77228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B2BE2">
              <w:rPr>
                <w:rFonts w:asciiTheme="minorHAnsi" w:hAnsiTheme="minorHAnsi"/>
                <w:sz w:val="22"/>
                <w:szCs w:val="22"/>
              </w:rPr>
              <w:t xml:space="preserve">b) </w:t>
            </w:r>
            <w:r w:rsidR="00702999">
              <w:rPr>
                <w:rFonts w:asciiTheme="minorHAnsi" w:hAnsiTheme="minorHAnsi"/>
                <w:sz w:val="22"/>
                <w:szCs w:val="22"/>
              </w:rPr>
              <w:t xml:space="preserve">do wysokości </w:t>
            </w:r>
            <w:r w:rsidRPr="001B2BE2">
              <w:rPr>
                <w:rFonts w:asciiTheme="minorHAnsi" w:hAnsiTheme="minorHAnsi"/>
                <w:sz w:val="22"/>
                <w:szCs w:val="22"/>
              </w:rPr>
              <w:t>500 zł/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1B2BE2">
              <w:rPr>
                <w:rFonts w:asciiTheme="minorHAnsi" w:hAnsiTheme="minorHAnsi"/>
                <w:sz w:val="22"/>
                <w:szCs w:val="22"/>
              </w:rPr>
              <w:t>opiekun</w:t>
            </w:r>
          </w:p>
          <w:p w14:paraId="72E334F5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11737F56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16E8C21D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7A6B8B07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0AC18A1A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DDBB2FB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06E0F1E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0946B3C4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786B0CB7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DD3B042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7D1D9D7A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742F58CA" w14:textId="77777777" w:rsidR="00827C4A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576E26CE" w14:textId="0717971E" w:rsidR="00827C4A" w:rsidRPr="00EE3BC9" w:rsidRDefault="00827C4A" w:rsidP="00A142E0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c) </w:t>
            </w:r>
            <w:r w:rsidR="000E566A">
              <w:rPr>
                <w:rFonts w:asciiTheme="minorHAnsi" w:hAnsiTheme="minorHAnsi"/>
                <w:sz w:val="22"/>
                <w:szCs w:val="22"/>
              </w:rPr>
              <w:t xml:space="preserve">do wysokości </w:t>
            </w:r>
            <w:r w:rsidR="00C215EE">
              <w:rPr>
                <w:rFonts w:asciiTheme="minorHAnsi" w:hAnsiTheme="minorHAnsi"/>
                <w:sz w:val="22"/>
                <w:szCs w:val="22"/>
              </w:rPr>
              <w:t>2 </w:t>
            </w:r>
            <w:r w:rsidR="000E566A">
              <w:rPr>
                <w:rFonts w:asciiTheme="minorHAnsi" w:hAnsiTheme="minorHAnsi"/>
                <w:sz w:val="22"/>
                <w:szCs w:val="22"/>
              </w:rPr>
              <w:t>617</w:t>
            </w:r>
            <w:r w:rsidR="00A142E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zł/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opiekun</w:t>
            </w:r>
          </w:p>
        </w:tc>
        <w:tc>
          <w:tcPr>
            <w:tcW w:w="4961" w:type="dxa"/>
          </w:tcPr>
          <w:p w14:paraId="37D39C8E" w14:textId="77777777" w:rsidR="00827C4A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2BE2">
              <w:rPr>
                <w:rFonts w:asciiTheme="minorHAnsi" w:hAnsiTheme="minorHAnsi"/>
                <w:sz w:val="22"/>
                <w:szCs w:val="22"/>
              </w:rPr>
              <w:t xml:space="preserve">a) Refundacja podmiotowi przyjmującemu na staż </w:t>
            </w:r>
            <w:r>
              <w:rPr>
                <w:rFonts w:asciiTheme="minorHAnsi" w:hAnsiTheme="minorHAnsi"/>
                <w:sz w:val="22"/>
                <w:szCs w:val="22"/>
              </w:rPr>
              <w:t>wynagrodzenia opiekuna stażysty</w:t>
            </w:r>
            <w:r w:rsidRPr="001B2BE2">
              <w:rPr>
                <w:rFonts w:asciiTheme="minorHAnsi" w:hAnsiTheme="minorHAnsi"/>
                <w:sz w:val="22"/>
                <w:szCs w:val="22"/>
              </w:rPr>
              <w:t xml:space="preserve"> w zakresie odpowiadającym częściowemu lub całkowitemu zwolnieniu go od świadczenia pracy na rzecz realizacji zadań związany</w:t>
            </w:r>
            <w:r>
              <w:rPr>
                <w:rFonts w:asciiTheme="minorHAnsi" w:hAnsiTheme="minorHAnsi"/>
                <w:sz w:val="22"/>
                <w:szCs w:val="22"/>
              </w:rPr>
              <w:t>ch z opieką nad grupą stażystów</w:t>
            </w:r>
            <w:r w:rsidRPr="001B2BE2">
              <w:rPr>
                <w:rFonts w:asciiTheme="minorHAnsi" w:hAnsiTheme="minorHAnsi"/>
                <w:sz w:val="22"/>
                <w:szCs w:val="22"/>
              </w:rPr>
              <w:t xml:space="preserve"> przez okres 150 godzin stażu</w:t>
            </w:r>
            <w:r>
              <w:rPr>
                <w:rFonts w:asciiTheme="minorHAnsi" w:hAnsiTheme="minorHAnsi"/>
                <w:sz w:val="22"/>
                <w:szCs w:val="22"/>
              </w:rPr>
              <w:t>/praktyki</w:t>
            </w:r>
            <w:r w:rsidRPr="001B2BE2">
              <w:rPr>
                <w:rFonts w:asciiTheme="minorHAnsi" w:hAnsiTheme="minorHAnsi"/>
                <w:sz w:val="22"/>
                <w:szCs w:val="22"/>
              </w:rPr>
              <w:t xml:space="preserve"> w wysokości obliczonej jak za urlop wypoczynkowy, ale nie więcej niż 5000 zł brutto. Wysokość wynagrodzenia nalicza się proporc</w:t>
            </w:r>
            <w:r>
              <w:rPr>
                <w:rFonts w:asciiTheme="minorHAnsi" w:hAnsiTheme="minorHAnsi"/>
                <w:sz w:val="22"/>
                <w:szCs w:val="22"/>
              </w:rPr>
              <w:t>jonalnie do liczby godzin stażu</w:t>
            </w:r>
            <w:r w:rsidRPr="001B2BE2">
              <w:rPr>
                <w:rFonts w:asciiTheme="minorHAnsi" w:hAnsiTheme="minorHAnsi"/>
                <w:sz w:val="22"/>
                <w:szCs w:val="22"/>
              </w:rPr>
              <w:t xml:space="preserve"> zrealizowanych przez ucznió</w:t>
            </w:r>
            <w:r>
              <w:rPr>
                <w:rFonts w:asciiTheme="minorHAnsi" w:hAnsiTheme="minorHAnsi"/>
                <w:sz w:val="22"/>
                <w:szCs w:val="22"/>
              </w:rPr>
              <w:t>w.</w:t>
            </w:r>
          </w:p>
          <w:p w14:paraId="4C29C6C2" w14:textId="77777777" w:rsidR="00702999" w:rsidRDefault="0070299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9BACBC7" w14:textId="77777777" w:rsidR="00827C4A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2BE2">
              <w:rPr>
                <w:rFonts w:asciiTheme="minorHAnsi" w:hAnsiTheme="minorHAnsi"/>
                <w:sz w:val="22"/>
                <w:szCs w:val="22"/>
              </w:rPr>
              <w:t>b) Refundacj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1B2BE2">
              <w:rPr>
                <w:rFonts w:asciiTheme="minorHAnsi" w:hAnsiTheme="minorHAnsi"/>
                <w:sz w:val="22"/>
                <w:szCs w:val="22"/>
              </w:rPr>
              <w:t xml:space="preserve"> podmiotowi przyjmującemu na staż dodatku do </w:t>
            </w:r>
            <w:r>
              <w:rPr>
                <w:rFonts w:asciiTheme="minorHAnsi" w:hAnsiTheme="minorHAnsi"/>
                <w:sz w:val="22"/>
                <w:szCs w:val="22"/>
              </w:rPr>
              <w:t>wynagrodzenia opiekuna stażysty</w:t>
            </w:r>
            <w:r w:rsidRPr="001B2BE2">
              <w:rPr>
                <w:rFonts w:asciiTheme="minorHAnsi" w:hAnsiTheme="minorHAnsi"/>
                <w:sz w:val="22"/>
                <w:szCs w:val="22"/>
              </w:rPr>
              <w:t xml:space="preserve"> w sytuacji, gdy nie został zwolniony od świadczenia pracy w wysokości nieprzekraczającej 10% jego zasadniczego wynagrodzenia wraz ze wszystkimi składnikami wynagrodzenia</w:t>
            </w:r>
            <w:r>
              <w:t xml:space="preserve"> </w:t>
            </w:r>
            <w:r w:rsidRPr="001B2BE2">
              <w:rPr>
                <w:rFonts w:asciiTheme="minorHAnsi" w:hAnsiTheme="minorHAnsi"/>
                <w:sz w:val="22"/>
                <w:szCs w:val="22"/>
              </w:rPr>
              <w:t>wynikającego ze zwiększonego zakresu za</w:t>
            </w:r>
            <w:r>
              <w:rPr>
                <w:rFonts w:asciiTheme="minorHAnsi" w:hAnsiTheme="minorHAnsi"/>
                <w:sz w:val="22"/>
                <w:szCs w:val="22"/>
              </w:rPr>
              <w:t>dań (opieka nad grupą stażystów</w:t>
            </w:r>
            <w:r w:rsidRPr="001B2BE2">
              <w:rPr>
                <w:rFonts w:asciiTheme="minorHAnsi" w:hAnsiTheme="minorHAnsi"/>
                <w:sz w:val="22"/>
                <w:szCs w:val="22"/>
              </w:rPr>
              <w:t>), ale nie więcej niż 500 zł brutto za realizację 150 godzin stażu. Wysokość wynagrodzenia nalicza się proporcjonalnie do liczby godzin stażu zrealizowanych przez uczniów.</w:t>
            </w:r>
          </w:p>
          <w:p w14:paraId="0E288031" w14:textId="77777777" w:rsidR="00827C4A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2CA84AF" w14:textId="77777777" w:rsidR="00827C4A" w:rsidRPr="00EE3BC9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c) R</w:t>
            </w:r>
            <w:r w:rsidRPr="00FC0037">
              <w:rPr>
                <w:rFonts w:asciiTheme="minorHAnsi" w:hAnsiTheme="minorHAnsi"/>
                <w:sz w:val="22"/>
                <w:szCs w:val="22"/>
              </w:rPr>
              <w:t>efundacj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FC0037">
              <w:rPr>
                <w:rFonts w:asciiTheme="minorHAnsi" w:hAnsiTheme="minorHAnsi"/>
                <w:sz w:val="22"/>
                <w:szCs w:val="22"/>
              </w:rPr>
              <w:t xml:space="preserve"> podmiotowi przyjmującemu na staż wynagrodzenia opiekuna </w:t>
            </w:r>
            <w:r>
              <w:rPr>
                <w:rFonts w:asciiTheme="minorHAnsi" w:hAnsiTheme="minorHAnsi"/>
                <w:sz w:val="22"/>
                <w:szCs w:val="22"/>
              </w:rPr>
              <w:t>stażysty</w:t>
            </w:r>
            <w:r w:rsidRPr="00FC0037">
              <w:rPr>
                <w:rFonts w:asciiTheme="minorHAnsi" w:hAnsiTheme="minorHAnsi"/>
                <w:sz w:val="22"/>
                <w:szCs w:val="22"/>
              </w:rPr>
              <w:t xml:space="preserve">, który będzie pełnił funkcję instruktora praktycznej nauki zawodu i dla którego praca z uczniami będzie stanowić podstawowe zajęcie – do wysokości wynagrodzenia określonego </w:t>
            </w:r>
            <w:r w:rsidR="00DE5114" w:rsidRPr="00DE5114">
              <w:rPr>
                <w:rFonts w:asciiTheme="minorHAnsi" w:hAnsiTheme="minorHAnsi"/>
                <w:sz w:val="22"/>
                <w:szCs w:val="22"/>
              </w:rPr>
              <w:t>§ 9 ust. 2 pkt 1 rozporządzenia Ministra Edukacji Narodowej z dnia 22 lutego 2019 r. w sprawie praktycznej</w:t>
            </w:r>
            <w:r w:rsidR="00DE5114" w:rsidRPr="00DE5114">
              <w:t xml:space="preserve"> nauki</w:t>
            </w:r>
            <w:r w:rsidR="00DE5114">
              <w:t xml:space="preserve"> </w:t>
            </w:r>
            <w:r w:rsidR="00DE5114" w:rsidRPr="00DE5114">
              <w:rPr>
                <w:rFonts w:asciiTheme="minorHAnsi" w:hAnsiTheme="minorHAnsi"/>
                <w:sz w:val="22"/>
                <w:szCs w:val="22"/>
              </w:rPr>
              <w:t>zawodu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czyli </w:t>
            </w:r>
            <w:r w:rsidRPr="00992360">
              <w:rPr>
                <w:rFonts w:asciiTheme="minorHAnsi" w:hAnsiTheme="minorHAnsi"/>
                <w:sz w:val="22"/>
                <w:szCs w:val="22"/>
              </w:rPr>
              <w:t>do wysokości minimalnej stawki wynagrodzenia zasadniczego nauczyciela kontraktowego posiadającego dyplom ukończenia kolegium nauczycielskiego określonej w przepisach w sprawie wysokości minimalnych stawek wynagrodzenia zasadniczego nauczycieli, ogólnych warunków przyznawania dodatków do wynagrodzenia zasadniczego oraz wynagradzania za pracę w dniu wolnym od pracy.</w:t>
            </w:r>
          </w:p>
        </w:tc>
      </w:tr>
      <w:tr w:rsidR="004E31B9" w:rsidRPr="00EE3BC9" w14:paraId="58F83B73" w14:textId="77777777" w:rsidTr="008B39D0">
        <w:trPr>
          <w:trHeight w:val="7062"/>
        </w:trPr>
        <w:tc>
          <w:tcPr>
            <w:tcW w:w="2268" w:type="dxa"/>
          </w:tcPr>
          <w:p w14:paraId="3473EC3E" w14:textId="77777777" w:rsidR="004E31B9" w:rsidRPr="0090425F" w:rsidRDefault="004E31B9" w:rsidP="00DE5114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0425F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Koszty związane</w:t>
            </w:r>
          </w:p>
          <w:p w14:paraId="5E3ADA38" w14:textId="77777777" w:rsidR="004E31B9" w:rsidRPr="0090425F" w:rsidRDefault="004E31B9" w:rsidP="00DE5114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0425F">
              <w:rPr>
                <w:rFonts w:asciiTheme="minorHAnsi" w:hAnsiTheme="minorHAnsi"/>
                <w:b/>
                <w:bCs/>
                <w:sz w:val="22"/>
                <w:szCs w:val="22"/>
              </w:rPr>
              <w:t>z odbywaniem</w:t>
            </w:r>
          </w:p>
          <w:p w14:paraId="12D26C11" w14:textId="77777777" w:rsidR="004E31B9" w:rsidRPr="00EE3BC9" w:rsidRDefault="004E31B9" w:rsidP="00DE5114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stażu</w:t>
            </w:r>
          </w:p>
        </w:tc>
        <w:tc>
          <w:tcPr>
            <w:tcW w:w="1843" w:type="dxa"/>
          </w:tcPr>
          <w:p w14:paraId="2D8873DC" w14:textId="77777777" w:rsidR="004E31B9" w:rsidRPr="00EE3BC9" w:rsidRDefault="004E31B9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do wysokości 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 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>000 zł/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90425F">
              <w:rPr>
                <w:rFonts w:asciiTheme="minorHAnsi" w:hAnsiTheme="minorHAnsi"/>
                <w:sz w:val="22"/>
                <w:szCs w:val="22"/>
              </w:rPr>
              <w:t>osoba</w:t>
            </w:r>
          </w:p>
        </w:tc>
        <w:tc>
          <w:tcPr>
            <w:tcW w:w="4961" w:type="dxa"/>
          </w:tcPr>
          <w:p w14:paraId="66D194CA" w14:textId="77777777" w:rsidR="004E31B9" w:rsidRPr="0090425F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>atalog wydatków przewidzianych w ramach projektu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może uwzględniać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1145E95E" w14:textId="77777777" w:rsidR="004E31B9" w:rsidRPr="0090425F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a) 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>koszty związane z odbywaniem stażu (np. koszty dojazdu, koszty zakupu, materiałów i narzędzi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zużywalnych </w:t>
            </w:r>
            <w:r>
              <w:rPr>
                <w:rFonts w:eastAsia="Batang"/>
              </w:rPr>
              <w:t>niezbędnych stażyście do odbycia stażu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>, szkolenia BHP stażysty itp.)</w:t>
            </w:r>
          </w:p>
          <w:p w14:paraId="421688C6" w14:textId="77777777" w:rsidR="004E31B9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0425F">
              <w:rPr>
                <w:rFonts w:asciiTheme="minorHAnsi" w:hAnsiTheme="minorHAnsi"/>
                <w:sz w:val="22"/>
                <w:szCs w:val="22"/>
              </w:rPr>
              <w:t xml:space="preserve">w wysokości nieprzekraczającej 5 000 zł brutto na jedną osobę odbywającą staż. </w:t>
            </w:r>
          </w:p>
          <w:p w14:paraId="7589F4A9" w14:textId="77777777" w:rsidR="004E31B9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87BE457" w14:textId="77777777" w:rsidR="004E31B9" w:rsidRPr="0090425F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0425F">
              <w:rPr>
                <w:rFonts w:asciiTheme="minorHAnsi" w:hAnsiTheme="minorHAnsi"/>
                <w:sz w:val="22"/>
                <w:szCs w:val="22"/>
              </w:rPr>
              <w:t>Katalog wydatków nie obejm</w:t>
            </w:r>
            <w:r>
              <w:rPr>
                <w:rFonts w:asciiTheme="minorHAnsi" w:hAnsiTheme="minorHAnsi"/>
                <w:sz w:val="22"/>
                <w:szCs w:val="22"/>
              </w:rPr>
              <w:t>uje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 xml:space="preserve"> wyposażenia stanowiska staż</w:t>
            </w:r>
            <w:r>
              <w:rPr>
                <w:rFonts w:asciiTheme="minorHAnsi" w:hAnsiTheme="minorHAnsi"/>
                <w:sz w:val="22"/>
                <w:szCs w:val="22"/>
              </w:rPr>
              <w:t>u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3F3BBA4" w14:textId="77777777" w:rsidR="004E31B9" w:rsidRPr="0090425F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8725AD8" w14:textId="77777777" w:rsidR="004E31B9" w:rsidRPr="0090425F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 ww. kwoty nie wlicza się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6613E942" w14:textId="77777777" w:rsidR="004E31B9" w:rsidRPr="0090425F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0425F">
              <w:rPr>
                <w:rFonts w:asciiTheme="minorHAnsi" w:hAnsiTheme="minorHAnsi"/>
                <w:sz w:val="22"/>
                <w:szCs w:val="22"/>
              </w:rPr>
              <w:t>a)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ab/>
              <w:t>refundacji wynagrodzenia/dodatku opiekuna stażysty,</w:t>
            </w:r>
          </w:p>
          <w:p w14:paraId="24E86C2F" w14:textId="77777777" w:rsidR="004E31B9" w:rsidRPr="0090425F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0425F">
              <w:rPr>
                <w:rFonts w:asciiTheme="minorHAnsi" w:hAnsiTheme="minorHAnsi"/>
                <w:sz w:val="22"/>
                <w:szCs w:val="22"/>
              </w:rPr>
              <w:t>b)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ab/>
            </w:r>
            <w:r>
              <w:rPr>
                <w:rFonts w:asciiTheme="minorHAnsi" w:hAnsiTheme="minorHAnsi"/>
                <w:sz w:val="22"/>
                <w:szCs w:val="22"/>
              </w:rPr>
              <w:t>świadczenia pieniężnego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 xml:space="preserve"> stażysty oraz</w:t>
            </w:r>
          </w:p>
          <w:p w14:paraId="038B0D70" w14:textId="77777777" w:rsidR="004E31B9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0425F">
              <w:rPr>
                <w:rFonts w:asciiTheme="minorHAnsi" w:hAnsiTheme="minorHAnsi"/>
                <w:sz w:val="22"/>
                <w:szCs w:val="22"/>
              </w:rPr>
              <w:t>c)</w:t>
            </w:r>
            <w:r w:rsidRPr="0090425F">
              <w:rPr>
                <w:rFonts w:asciiTheme="minorHAnsi" w:hAnsiTheme="minorHAnsi"/>
                <w:sz w:val="22"/>
                <w:szCs w:val="22"/>
              </w:rPr>
              <w:tab/>
              <w:t>kosztów podnoszenia kwalifikacji i kompetencji opiekuna stażysty.</w:t>
            </w:r>
          </w:p>
          <w:p w14:paraId="088F244F" w14:textId="77777777" w:rsidR="004E31B9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6709B06" w14:textId="77777777" w:rsidR="004E31B9" w:rsidRPr="00EE3BC9" w:rsidRDefault="004E31B9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Dla umożliwienia oceny racjonalności założonego w budżecie poziomu kosztu we wniosku należy wskazać poszczególne elementy składające się na przedmiotowy wydatek (ze wskazaniem cen jednostkowych).</w:t>
            </w:r>
          </w:p>
        </w:tc>
      </w:tr>
      <w:tr w:rsidR="00827C4A" w:rsidRPr="00EE3BC9" w14:paraId="71A5BCAE" w14:textId="77777777" w:rsidTr="00827C4A">
        <w:trPr>
          <w:trHeight w:val="558"/>
        </w:trPr>
        <w:tc>
          <w:tcPr>
            <w:tcW w:w="2268" w:type="dxa"/>
          </w:tcPr>
          <w:p w14:paraId="460D97CC" w14:textId="77777777" w:rsidR="00827C4A" w:rsidRPr="00EE3BC9" w:rsidRDefault="00827C4A" w:rsidP="00DE5114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0425F">
              <w:rPr>
                <w:rFonts w:asciiTheme="minorHAnsi" w:hAnsiTheme="minorHAnsi"/>
                <w:b/>
                <w:bCs/>
                <w:sz w:val="22"/>
                <w:szCs w:val="22"/>
              </w:rPr>
              <w:t>Wyżywienie (przerwa kawowa)</w:t>
            </w:r>
          </w:p>
        </w:tc>
        <w:tc>
          <w:tcPr>
            <w:tcW w:w="1843" w:type="dxa"/>
          </w:tcPr>
          <w:p w14:paraId="128551F7" w14:textId="77777777" w:rsidR="00827C4A" w:rsidRPr="00EE3BC9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D1AF4">
              <w:rPr>
                <w:rFonts w:asciiTheme="minorHAnsi" w:hAnsiTheme="minorHAnsi"/>
                <w:sz w:val="22"/>
                <w:szCs w:val="22"/>
              </w:rPr>
              <w:t>15 zł/zestaw</w:t>
            </w:r>
          </w:p>
        </w:tc>
        <w:tc>
          <w:tcPr>
            <w:tcW w:w="4961" w:type="dxa"/>
          </w:tcPr>
          <w:p w14:paraId="1FA636F1" w14:textId="77777777" w:rsidR="00827C4A" w:rsidRDefault="00827C4A" w:rsidP="00DE5114">
            <w:pPr>
              <w:pStyle w:val="Defaul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D1AF4">
              <w:rPr>
                <w:rFonts w:asciiTheme="minorHAnsi" w:hAnsiTheme="minorHAnsi"/>
                <w:b/>
                <w:sz w:val="22"/>
                <w:szCs w:val="22"/>
              </w:rPr>
              <w:t>Wydatek może być kwalifikowany, jeżeli wsparcie dla tej samej grupy osób w danym dniu trwa nie krócej niż 4 godziny lekcyjne (godzina lekcyjna = 45 minut).</w:t>
            </w:r>
          </w:p>
          <w:p w14:paraId="46967698" w14:textId="77777777" w:rsidR="009D147A" w:rsidRPr="009D1AF4" w:rsidRDefault="009D147A" w:rsidP="00DE5114">
            <w:pPr>
              <w:pStyle w:val="Defaul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5508428" w14:textId="77777777" w:rsidR="00827C4A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D1AF4">
              <w:rPr>
                <w:rFonts w:asciiTheme="minorHAnsi" w:hAnsiTheme="minorHAnsi"/>
                <w:sz w:val="22"/>
                <w:szCs w:val="22"/>
              </w:rPr>
              <w:t>Zakres: standardowa przerwa kawowa (kawa, herbata, woda, soki, ciastka, kanapki).</w:t>
            </w:r>
          </w:p>
          <w:p w14:paraId="4CEAAB54" w14:textId="77777777" w:rsidR="009D147A" w:rsidRPr="009D1AF4" w:rsidRDefault="009D147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1BB8337" w14:textId="77777777" w:rsidR="00827C4A" w:rsidRPr="00EE3BC9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D1AF4">
              <w:rPr>
                <w:rFonts w:asciiTheme="minorHAnsi" w:hAnsiTheme="minorHAnsi"/>
                <w:sz w:val="22"/>
                <w:szCs w:val="22"/>
              </w:rPr>
              <w:t>Cena rynkowa powinna być uzależniona od rodzaju oferowanej usługi i jest niższa, jeżeli finansowany jest mniejszy zakres usługi (np. kawa, herbata, woda, mleko, cukier, cytryna bez drobnych lub słodkich przekąsek)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162AA8" w:rsidRPr="00EE3BC9" w14:paraId="0A11BEE7" w14:textId="77777777" w:rsidTr="00827C4A">
        <w:trPr>
          <w:trHeight w:val="558"/>
        </w:trPr>
        <w:tc>
          <w:tcPr>
            <w:tcW w:w="2268" w:type="dxa"/>
          </w:tcPr>
          <w:p w14:paraId="7E444808" w14:textId="77777777" w:rsidR="00162AA8" w:rsidRPr="0090425F" w:rsidRDefault="00162AA8" w:rsidP="00DE5114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2AA8">
              <w:rPr>
                <w:rFonts w:asciiTheme="minorHAnsi" w:hAnsiTheme="minorHAnsi"/>
                <w:b/>
                <w:bCs/>
                <w:sz w:val="22"/>
                <w:szCs w:val="22"/>
              </w:rPr>
              <w:t>Zimny bufet</w:t>
            </w:r>
          </w:p>
        </w:tc>
        <w:tc>
          <w:tcPr>
            <w:tcW w:w="1843" w:type="dxa"/>
          </w:tcPr>
          <w:p w14:paraId="1C8C5F9B" w14:textId="77777777" w:rsidR="00162AA8" w:rsidRPr="009D1AF4" w:rsidRDefault="00162AA8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AA8">
              <w:rPr>
                <w:rFonts w:asciiTheme="minorHAnsi" w:hAnsiTheme="minorHAnsi"/>
                <w:sz w:val="22"/>
                <w:szCs w:val="22"/>
              </w:rPr>
              <w:t>25 zł za osobodzień szkoleniowy</w:t>
            </w:r>
          </w:p>
        </w:tc>
        <w:tc>
          <w:tcPr>
            <w:tcW w:w="4961" w:type="dxa"/>
          </w:tcPr>
          <w:p w14:paraId="503C8B29" w14:textId="77777777" w:rsidR="00162AA8" w:rsidRPr="003860BD" w:rsidRDefault="00E86A0B" w:rsidP="00162AA8">
            <w:pPr>
              <w:pStyle w:val="Default"/>
              <w:keepNext/>
              <w:keepLines/>
              <w:tabs>
                <w:tab w:val="center" w:pos="4536"/>
                <w:tab w:val="right" w:pos="9072"/>
              </w:tabs>
              <w:spacing w:before="120" w:after="120" w:line="276" w:lineRule="auto"/>
              <w:jc w:val="both"/>
              <w:outlineLvl w:val="1"/>
              <w:rPr>
                <w:rFonts w:cs="Arial"/>
                <w:b/>
                <w:bCs/>
                <w:sz w:val="22"/>
                <w:szCs w:val="22"/>
              </w:rPr>
            </w:pPr>
            <w:r w:rsidRPr="003860BD">
              <w:rPr>
                <w:rFonts w:cs="Arial"/>
                <w:b/>
                <w:bCs/>
                <w:sz w:val="22"/>
                <w:szCs w:val="22"/>
              </w:rPr>
              <w:t xml:space="preserve">Wydatek kwalifikowalny, o ile forma wsparcia, w ramach której ma być świadczony zimny bufet, dla tej samej grupy osób w danym dniu trwa co najmniej 4 godziny lekcyjne (tj. 4 x 45 minut) i nie jest przewidziany </w:t>
            </w:r>
            <w:r w:rsidRPr="003860BD">
              <w:rPr>
                <w:b/>
                <w:bCs/>
                <w:sz w:val="22"/>
                <w:szCs w:val="22"/>
              </w:rPr>
              <w:t>lunch</w:t>
            </w:r>
            <w:r w:rsidRPr="003860BD">
              <w:rPr>
                <w:rFonts w:cs="Arial"/>
                <w:b/>
                <w:bCs/>
                <w:sz w:val="22"/>
                <w:szCs w:val="22"/>
              </w:rPr>
              <w:t xml:space="preserve">/obiad. </w:t>
            </w:r>
          </w:p>
          <w:p w14:paraId="3DB3732B" w14:textId="77777777" w:rsidR="00162AA8" w:rsidRPr="008B5FF1" w:rsidRDefault="00162AA8" w:rsidP="00162AA8">
            <w:pPr>
              <w:pStyle w:val="Default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8B5FF1">
              <w:rPr>
                <w:rFonts w:cs="Arial"/>
                <w:sz w:val="22"/>
                <w:szCs w:val="22"/>
              </w:rPr>
              <w:t xml:space="preserve">Koszt obejmuje </w:t>
            </w:r>
            <w:r w:rsidRPr="008B5FF1">
              <w:rPr>
                <w:sz w:val="22"/>
                <w:szCs w:val="22"/>
              </w:rPr>
              <w:t>kawę</w:t>
            </w:r>
            <w:r w:rsidRPr="008B5FF1">
              <w:rPr>
                <w:rFonts w:cs="Arial"/>
                <w:sz w:val="22"/>
                <w:szCs w:val="22"/>
              </w:rPr>
              <w:t xml:space="preserve">, herbatę, wodę, soki, mleko, cukier, cytrynę, drobne słone lub słodkie przekąski typu paluszki lub kruche ciastka lub owoce, kanapki, przekąski koktajlowe, przy czym istnieje możliwość </w:t>
            </w:r>
            <w:r w:rsidRPr="008B5FF1">
              <w:rPr>
                <w:rFonts w:cs="Arial"/>
                <w:sz w:val="22"/>
                <w:szCs w:val="22"/>
              </w:rPr>
              <w:lastRenderedPageBreak/>
              <w:t>szerszego zakresu usługi, o ile mieści się w określonej cenie rynkowej.</w:t>
            </w:r>
          </w:p>
          <w:p w14:paraId="28561935" w14:textId="77777777" w:rsidR="00162AA8" w:rsidRPr="009D1AF4" w:rsidRDefault="00162AA8" w:rsidP="00162AA8">
            <w:pPr>
              <w:pStyle w:val="Defaul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8B5FF1">
              <w:rPr>
                <w:rFonts w:cs="Arial"/>
                <w:sz w:val="22"/>
                <w:szCs w:val="22"/>
              </w:rPr>
              <w:t xml:space="preserve">Cena rynkowa powinna być uzależniona od rodzaju oferowanej usługi i jest niższa, jeśli finansowany jest mniejszy </w:t>
            </w:r>
            <w:r w:rsidRPr="008B5FF1">
              <w:rPr>
                <w:rFonts w:asciiTheme="minorHAnsi" w:hAnsiTheme="minorHAnsi"/>
                <w:sz w:val="22"/>
                <w:szCs w:val="22"/>
              </w:rPr>
              <w:t>zakres</w:t>
            </w:r>
            <w:r w:rsidRPr="008B5FF1">
              <w:rPr>
                <w:rFonts w:cs="Arial"/>
                <w:sz w:val="22"/>
                <w:szCs w:val="22"/>
              </w:rPr>
              <w:t xml:space="preserve"> usługi.</w:t>
            </w:r>
          </w:p>
        </w:tc>
      </w:tr>
      <w:tr w:rsidR="00FA3FFC" w:rsidRPr="00EE3BC9" w14:paraId="3D34E62A" w14:textId="77777777" w:rsidTr="00827C4A">
        <w:trPr>
          <w:trHeight w:val="558"/>
        </w:trPr>
        <w:tc>
          <w:tcPr>
            <w:tcW w:w="2268" w:type="dxa"/>
          </w:tcPr>
          <w:p w14:paraId="65D563AE" w14:textId="77777777" w:rsidR="00FA3FFC" w:rsidRPr="00162AA8" w:rsidRDefault="00FA3FFC" w:rsidP="00DE5114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lastRenderedPageBreak/>
              <w:t>L</w:t>
            </w:r>
            <w:r w:rsidRPr="008B5FF1">
              <w:rPr>
                <w:rFonts w:cs="Arial"/>
                <w:b/>
                <w:bCs/>
                <w:sz w:val="22"/>
                <w:szCs w:val="22"/>
              </w:rPr>
              <w:t>unch/</w:t>
            </w:r>
            <w:r w:rsidRPr="008B5FF1">
              <w:rPr>
                <w:rFonts w:asciiTheme="minorHAnsi" w:hAnsiTheme="minorHAnsi"/>
                <w:b/>
                <w:bCs/>
                <w:sz w:val="22"/>
                <w:szCs w:val="22"/>
              </w:rPr>
              <w:t>obiad</w:t>
            </w:r>
          </w:p>
        </w:tc>
        <w:tc>
          <w:tcPr>
            <w:tcW w:w="1843" w:type="dxa"/>
          </w:tcPr>
          <w:p w14:paraId="465DFA27" w14:textId="77777777" w:rsidR="00FA3FFC" w:rsidRPr="00162AA8" w:rsidRDefault="00FA3FFC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A3FFC">
              <w:rPr>
                <w:rFonts w:asciiTheme="minorHAnsi" w:hAnsiTheme="minorHAnsi"/>
                <w:sz w:val="22"/>
                <w:szCs w:val="22"/>
              </w:rPr>
              <w:t>44 zł za osobodzień szkoleniowy</w:t>
            </w:r>
          </w:p>
        </w:tc>
        <w:tc>
          <w:tcPr>
            <w:tcW w:w="4961" w:type="dxa"/>
          </w:tcPr>
          <w:p w14:paraId="1E52923F" w14:textId="77777777" w:rsidR="00FA3FFC" w:rsidRPr="003860BD" w:rsidRDefault="00E86A0B" w:rsidP="00FA3FFC">
            <w:pPr>
              <w:pStyle w:val="Default"/>
              <w:tabs>
                <w:tab w:val="center" w:pos="4536"/>
                <w:tab w:val="right" w:pos="9072"/>
              </w:tabs>
              <w:spacing w:before="120" w:after="120"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3860BD">
              <w:rPr>
                <w:rFonts w:cs="Arial"/>
                <w:b/>
                <w:bCs/>
                <w:sz w:val="22"/>
                <w:szCs w:val="22"/>
              </w:rPr>
              <w:t>Wydatek kwalifikowalny, o ile wsparcie dla tej samej grupy osób w danym dniu trwa co najmniej 6 godzin lekcyjnych (tj. 6 x 45 minut) i nie jest przewidziany zimny bufet.</w:t>
            </w:r>
          </w:p>
          <w:p w14:paraId="60C139D3" w14:textId="77777777" w:rsidR="00FA3FFC" w:rsidRPr="008B5FF1" w:rsidRDefault="00FA3FFC" w:rsidP="00FA3FFC">
            <w:pPr>
              <w:spacing w:after="0" w:line="240" w:lineRule="auto"/>
              <w:jc w:val="both"/>
              <w:rPr>
                <w:rFonts w:ascii="Calibri" w:hAnsi="Calibri" w:cs="Arial"/>
              </w:rPr>
            </w:pPr>
            <w:r w:rsidRPr="008B5FF1">
              <w:rPr>
                <w:rFonts w:ascii="Calibri" w:hAnsi="Calibri" w:cs="Arial"/>
              </w:rPr>
              <w:t>Koszt obejmuje dwa dania (zupa i drugie danie) oraz napój, przy czym istnieje możliwość szerszego zakresu usługi, o ile mieści się w określonej cenie rynkowej.</w:t>
            </w:r>
          </w:p>
          <w:p w14:paraId="6FD443AB" w14:textId="77777777" w:rsidR="00FA3FFC" w:rsidRPr="00162AA8" w:rsidRDefault="00FA3FFC" w:rsidP="00FA3FFC">
            <w:pPr>
              <w:pStyle w:val="Default"/>
              <w:spacing w:before="120" w:after="120"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8B5FF1">
              <w:rPr>
                <w:rFonts w:cs="Arial"/>
                <w:sz w:val="22"/>
                <w:szCs w:val="22"/>
              </w:rPr>
              <w:t>Cena rynkowa powinna być uzależniona od rodzaju oferowanej usługi i jest niższa, jeśli finansowany jest mniejszy zakres usługi (np. obiad składający się tylko z drugiego dania i napoju).</w:t>
            </w:r>
          </w:p>
        </w:tc>
      </w:tr>
      <w:tr w:rsidR="00827C4A" w:rsidRPr="00EE3BC9" w14:paraId="7789F922" w14:textId="77777777" w:rsidTr="00827C4A">
        <w:trPr>
          <w:trHeight w:val="410"/>
        </w:trPr>
        <w:tc>
          <w:tcPr>
            <w:tcW w:w="2268" w:type="dxa"/>
          </w:tcPr>
          <w:p w14:paraId="316EBA97" w14:textId="77777777" w:rsidR="00827C4A" w:rsidRPr="00EE3BC9" w:rsidRDefault="00A73C44" w:rsidP="00DE5114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zwrot kosztów</w:t>
            </w:r>
            <w:r w:rsidRPr="009D1AF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27C4A" w:rsidRPr="009D1AF4">
              <w:rPr>
                <w:rFonts w:asciiTheme="minorHAnsi" w:hAnsiTheme="minorHAnsi"/>
                <w:b/>
                <w:bCs/>
                <w:sz w:val="22"/>
                <w:szCs w:val="22"/>
              </w:rPr>
              <w:t>dojazdu</w:t>
            </w:r>
          </w:p>
        </w:tc>
        <w:tc>
          <w:tcPr>
            <w:tcW w:w="1843" w:type="dxa"/>
          </w:tcPr>
          <w:p w14:paraId="7FF90AD1" w14:textId="77777777" w:rsidR="00827C4A" w:rsidRPr="00EE3BC9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D1AF4">
              <w:rPr>
                <w:rFonts w:asciiTheme="minorHAnsi" w:hAnsiTheme="minorHAnsi"/>
                <w:sz w:val="22"/>
                <w:szCs w:val="22"/>
              </w:rPr>
              <w:t xml:space="preserve">W zależności od miejsca zamieszkania ucznia i miejsca </w:t>
            </w:r>
            <w:r>
              <w:rPr>
                <w:rFonts w:asciiTheme="minorHAnsi" w:hAnsiTheme="minorHAnsi"/>
                <w:sz w:val="22"/>
                <w:szCs w:val="22"/>
              </w:rPr>
              <w:t>odbywania stażu</w:t>
            </w:r>
          </w:p>
        </w:tc>
        <w:tc>
          <w:tcPr>
            <w:tcW w:w="4961" w:type="dxa"/>
          </w:tcPr>
          <w:p w14:paraId="1020FD93" w14:textId="77777777" w:rsidR="00454F2D" w:rsidRDefault="00827C4A" w:rsidP="00DE511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oparciu o </w:t>
            </w:r>
            <w:r>
              <w:rPr>
                <w:b/>
                <w:bCs/>
                <w:sz w:val="22"/>
                <w:szCs w:val="22"/>
              </w:rPr>
              <w:t xml:space="preserve">cennik operatora komunikacji publicznej </w:t>
            </w:r>
            <w:r>
              <w:rPr>
                <w:sz w:val="22"/>
                <w:szCs w:val="22"/>
              </w:rPr>
              <w:t xml:space="preserve">(do wysokości opłat za środki transportu publicznego szynowego lub kołowego zgodnie z cennikiem biletów II klasy obowiązującym na danym obszarze), także w przypadku korzystania ze środków transportu prywatnego (w szczególności samochodem). </w:t>
            </w:r>
          </w:p>
          <w:p w14:paraId="5CAC9770" w14:textId="77777777" w:rsidR="00454F2D" w:rsidRDefault="00454F2D" w:rsidP="00DE511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43A95E0" w14:textId="77777777" w:rsidR="00827C4A" w:rsidRDefault="00827C4A" w:rsidP="00DE511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 RPO dopuszcza również możliwość korzystania przez uczniów z usług przewoźników prywatnych, jeżeli jest to racjonalne (tj. danej trasy nie obsługuje tańszy przewoźnik publiczny, trasa jest obsługiwana przez przewoźnika publicznego w nieadekwatnych godzinach albo ceny usług przewoźnika prywatnego i publicznego są zbliżone). </w:t>
            </w:r>
          </w:p>
          <w:p w14:paraId="3694ABAF" w14:textId="77777777" w:rsidR="00827C4A" w:rsidRDefault="00827C4A" w:rsidP="00DE511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008B3557" w14:textId="77777777" w:rsidR="00827C4A" w:rsidRPr="00EE3BC9" w:rsidRDefault="00827C4A" w:rsidP="00DE511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 wniosku należy zamieścić uzasadnienie dla założonego poziomu kosztu dojazdu uczniów. </w:t>
            </w:r>
          </w:p>
        </w:tc>
      </w:tr>
      <w:tr w:rsidR="00827C4A" w:rsidRPr="00EE3BC9" w14:paraId="4D28590B" w14:textId="77777777" w:rsidTr="00827C4A">
        <w:trPr>
          <w:trHeight w:val="414"/>
        </w:trPr>
        <w:tc>
          <w:tcPr>
            <w:tcW w:w="2268" w:type="dxa"/>
          </w:tcPr>
          <w:p w14:paraId="032785D7" w14:textId="77777777" w:rsidR="00827C4A" w:rsidRPr="00EE3BC9" w:rsidRDefault="00827C4A" w:rsidP="00DE5114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Koszt organizacji wyjazdów dla uczniów </w:t>
            </w:r>
          </w:p>
        </w:tc>
        <w:tc>
          <w:tcPr>
            <w:tcW w:w="1843" w:type="dxa"/>
          </w:tcPr>
          <w:p w14:paraId="1E464B1F" w14:textId="77777777" w:rsidR="00827C4A" w:rsidRPr="00EE3BC9" w:rsidRDefault="00827C4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4961" w:type="dxa"/>
          </w:tcPr>
          <w:p w14:paraId="09BC98B8" w14:textId="77777777" w:rsidR="00827C4A" w:rsidRDefault="00827C4A" w:rsidP="00454F2D">
            <w:pPr>
              <w:pStyle w:val="Default"/>
              <w:jc w:val="both"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EE3BC9">
              <w:rPr>
                <w:rFonts w:asciiTheme="minorHAnsi" w:eastAsia="Calibri" w:hAnsiTheme="minorHAnsi"/>
                <w:bCs/>
                <w:sz w:val="22"/>
                <w:szCs w:val="22"/>
              </w:rPr>
              <w:t>Koszt wymaga uzasadnienia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>,</w:t>
            </w:r>
            <w:r w:rsidRPr="00EE3BC9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w którym zostaną zawarte informacje dotyczące:</w:t>
            </w:r>
          </w:p>
          <w:p w14:paraId="233B74A8" w14:textId="77777777" w:rsidR="00827C4A" w:rsidRPr="00EE3BC9" w:rsidRDefault="00827C4A" w:rsidP="00454F2D">
            <w:pPr>
              <w:pStyle w:val="Default"/>
              <w:jc w:val="both"/>
              <w:rPr>
                <w:rFonts w:asciiTheme="minorHAnsi" w:eastAsia="Calibri" w:hAnsiTheme="minorHAnsi"/>
                <w:bCs/>
                <w:i/>
                <w:sz w:val="22"/>
                <w:szCs w:val="22"/>
              </w:rPr>
            </w:pP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– </w:t>
            </w:r>
            <w:r w:rsidRPr="00E774D0">
              <w:rPr>
                <w:rFonts w:asciiTheme="minorHAnsi" w:eastAsia="Calibri" w:hAnsiTheme="minorHAnsi"/>
                <w:bCs/>
                <w:sz w:val="22"/>
                <w:szCs w:val="22"/>
              </w:rPr>
              <w:t>przewidywan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>ej</w:t>
            </w:r>
            <w:r w:rsidRPr="00E774D0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liczb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>y</w:t>
            </w:r>
            <w:r w:rsidRPr="00E774D0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uczestników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>,</w:t>
            </w:r>
          </w:p>
          <w:p w14:paraId="3AF71225" w14:textId="77777777" w:rsidR="00827C4A" w:rsidRPr="00EE3BC9" w:rsidRDefault="00827C4A" w:rsidP="00454F2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 przewidywanego czas trwania wyjazdu,</w:t>
            </w:r>
          </w:p>
          <w:p w14:paraId="337FE95D" w14:textId="77777777" w:rsidR="00827C4A" w:rsidRPr="00EE3BC9" w:rsidRDefault="00827C4A" w:rsidP="00454F2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 sposobu kalkulacji kosztu (</w:t>
            </w:r>
            <w:r w:rsidRPr="00EE3BC9">
              <w:rPr>
                <w:rFonts w:asciiTheme="minorHAnsi" w:hAnsiTheme="minorHAnsi"/>
                <w:sz w:val="22"/>
                <w:szCs w:val="22"/>
              </w:rPr>
              <w:t>przykładow</w:t>
            </w:r>
            <w:r>
              <w:rPr>
                <w:rFonts w:asciiTheme="minorHAnsi" w:hAnsiTheme="minorHAnsi"/>
                <w:sz w:val="22"/>
                <w:szCs w:val="22"/>
              </w:rPr>
              <w:t>ego</w:t>
            </w:r>
            <w:r w:rsidRPr="00EE3BC9">
              <w:rPr>
                <w:rFonts w:asciiTheme="minorHAnsi" w:hAnsiTheme="minorHAnsi"/>
                <w:sz w:val="22"/>
                <w:szCs w:val="22"/>
              </w:rPr>
              <w:t xml:space="preserve"> katalog</w:t>
            </w:r>
            <w:r>
              <w:rPr>
                <w:rFonts w:asciiTheme="minorHAnsi" w:hAnsiTheme="minorHAnsi"/>
                <w:sz w:val="22"/>
                <w:szCs w:val="22"/>
              </w:rPr>
              <w:t>u</w:t>
            </w:r>
            <w:r w:rsidRPr="00EE3BC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wydatków, np. bilety wstępu do …, koszt transportu itd. wraz z cenami</w:t>
            </w:r>
            <w:r w:rsidRPr="00EE3BC9">
              <w:rPr>
                <w:rFonts w:asciiTheme="minorHAnsi" w:hAnsiTheme="minorHAnsi"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A73C44" w:rsidRPr="00EE3BC9" w14:paraId="5E254FE2" w14:textId="77777777" w:rsidTr="00827C4A">
        <w:trPr>
          <w:trHeight w:val="414"/>
        </w:trPr>
        <w:tc>
          <w:tcPr>
            <w:tcW w:w="2268" w:type="dxa"/>
          </w:tcPr>
          <w:p w14:paraId="1FECE70C" w14:textId="77777777" w:rsidR="00A73C44" w:rsidRDefault="00A73C44" w:rsidP="00DE5114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73C44">
              <w:rPr>
                <w:rFonts w:asciiTheme="minorHAnsi" w:hAnsiTheme="minorHAnsi"/>
                <w:b/>
                <w:bCs/>
                <w:sz w:val="22"/>
                <w:szCs w:val="22"/>
              </w:rPr>
              <w:t>zakup materiałów biurowych dla uczestników szkolenia</w:t>
            </w:r>
          </w:p>
        </w:tc>
        <w:tc>
          <w:tcPr>
            <w:tcW w:w="1843" w:type="dxa"/>
          </w:tcPr>
          <w:p w14:paraId="5E6867FC" w14:textId="77777777" w:rsidR="00A73C44" w:rsidRPr="00A73C44" w:rsidRDefault="00A73C44" w:rsidP="00A73C4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73C44">
              <w:rPr>
                <w:rFonts w:asciiTheme="minorHAnsi" w:hAnsiTheme="minorHAnsi"/>
                <w:sz w:val="22"/>
                <w:szCs w:val="22"/>
              </w:rPr>
              <w:t>9 zł za zestaw bez pendrive</w:t>
            </w:r>
          </w:p>
          <w:p w14:paraId="666A2A54" w14:textId="77777777" w:rsidR="00A73C44" w:rsidRPr="00A73C44" w:rsidRDefault="00A73C44" w:rsidP="00A73C4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73C44">
              <w:rPr>
                <w:rFonts w:asciiTheme="minorHAnsi" w:hAnsiTheme="minorHAnsi"/>
                <w:sz w:val="22"/>
                <w:szCs w:val="22"/>
              </w:rPr>
              <w:t>lub</w:t>
            </w:r>
          </w:p>
          <w:p w14:paraId="11E6B50E" w14:textId="77777777" w:rsidR="00A73C44" w:rsidRPr="00A73C44" w:rsidRDefault="00A73C44" w:rsidP="00A73C4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73C44">
              <w:rPr>
                <w:rFonts w:asciiTheme="minorHAnsi" w:hAnsiTheme="minorHAnsi"/>
                <w:sz w:val="22"/>
                <w:szCs w:val="22"/>
              </w:rPr>
              <w:t xml:space="preserve">24 zł za zestaw </w:t>
            </w:r>
          </w:p>
          <w:p w14:paraId="5ABC9A13" w14:textId="77777777" w:rsidR="00A73C44" w:rsidRDefault="00A73C44" w:rsidP="00A73C4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73C44">
              <w:rPr>
                <w:rFonts w:asciiTheme="minorHAnsi" w:hAnsiTheme="minorHAnsi"/>
                <w:sz w:val="22"/>
                <w:szCs w:val="22"/>
              </w:rPr>
              <w:t>z pendrive</w:t>
            </w:r>
          </w:p>
        </w:tc>
        <w:tc>
          <w:tcPr>
            <w:tcW w:w="4961" w:type="dxa"/>
          </w:tcPr>
          <w:p w14:paraId="106FA964" w14:textId="77777777" w:rsidR="00A73C44" w:rsidRPr="008B5FF1" w:rsidRDefault="00A73C44" w:rsidP="00A73C44">
            <w:pPr>
              <w:pStyle w:val="Default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8B5FF1">
              <w:rPr>
                <w:rFonts w:cs="Arial"/>
                <w:sz w:val="22"/>
                <w:szCs w:val="22"/>
              </w:rPr>
              <w:t xml:space="preserve">Koszt obejmuje zestaw składający się z teczki, notesu, </w:t>
            </w:r>
            <w:r w:rsidRPr="008B5FF1">
              <w:rPr>
                <w:rFonts w:asciiTheme="minorHAnsi" w:hAnsiTheme="minorHAnsi"/>
                <w:sz w:val="22"/>
                <w:szCs w:val="22"/>
              </w:rPr>
              <w:t>długopisu</w:t>
            </w:r>
            <w:r w:rsidRPr="008B5FF1">
              <w:rPr>
                <w:rFonts w:cs="Arial"/>
                <w:sz w:val="22"/>
                <w:szCs w:val="22"/>
              </w:rPr>
              <w:t xml:space="preserve"> lub zestawu z dodatkowym pendrive, co dotyczy tylko dużej ilości materiałów szkoleniowych nagrywanych na pendrive, zamiast wydruku tych </w:t>
            </w:r>
            <w:r w:rsidRPr="008B5FF1">
              <w:rPr>
                <w:rFonts w:asciiTheme="minorHAnsi" w:hAnsiTheme="minorHAnsi"/>
                <w:sz w:val="22"/>
                <w:szCs w:val="22"/>
              </w:rPr>
              <w:t>materiałów</w:t>
            </w:r>
            <w:r w:rsidRPr="008B5FF1">
              <w:rPr>
                <w:rFonts w:cs="Arial"/>
                <w:sz w:val="22"/>
                <w:szCs w:val="22"/>
              </w:rPr>
              <w:t>.</w:t>
            </w:r>
          </w:p>
          <w:p w14:paraId="26C216AE" w14:textId="77777777" w:rsidR="00A73C44" w:rsidRPr="008B5FF1" w:rsidRDefault="00A73C44" w:rsidP="00A73C44">
            <w:pPr>
              <w:pStyle w:val="Default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8B5FF1">
              <w:rPr>
                <w:rFonts w:cs="Arial"/>
                <w:sz w:val="22"/>
                <w:szCs w:val="22"/>
              </w:rPr>
              <w:lastRenderedPageBreak/>
              <w:t xml:space="preserve">Cena rynkowa powinna być uzależniona od rodzaju oferowanej usługi i jest niższa, jeśli finansowany jest mniejszy </w:t>
            </w:r>
            <w:r w:rsidRPr="008B5FF1">
              <w:rPr>
                <w:rFonts w:asciiTheme="minorHAnsi" w:hAnsiTheme="minorHAnsi"/>
                <w:sz w:val="22"/>
                <w:szCs w:val="22"/>
              </w:rPr>
              <w:t>zakres</w:t>
            </w:r>
            <w:r w:rsidRPr="008B5FF1">
              <w:rPr>
                <w:rFonts w:cs="Arial"/>
                <w:sz w:val="22"/>
                <w:szCs w:val="22"/>
              </w:rPr>
              <w:t xml:space="preserve"> usługi (np. notes i długopis).</w:t>
            </w:r>
          </w:p>
          <w:p w14:paraId="7EECD145" w14:textId="77777777" w:rsidR="00A73C44" w:rsidRPr="00EE3BC9" w:rsidRDefault="00A73C44" w:rsidP="00A73C44">
            <w:pPr>
              <w:pStyle w:val="Default"/>
              <w:jc w:val="both"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8B5FF1">
              <w:rPr>
                <w:rFonts w:cs="Arial"/>
                <w:sz w:val="22"/>
                <w:szCs w:val="22"/>
              </w:rPr>
              <w:t>Cena nie obejmuje kosztu logotypów (objęte są kosztami pośrednimi).</w:t>
            </w:r>
          </w:p>
        </w:tc>
      </w:tr>
      <w:tr w:rsidR="000B16A7" w:rsidRPr="00EE3BC9" w14:paraId="2F24A0BD" w14:textId="77777777" w:rsidTr="00827C4A">
        <w:trPr>
          <w:trHeight w:val="414"/>
        </w:trPr>
        <w:tc>
          <w:tcPr>
            <w:tcW w:w="2268" w:type="dxa"/>
          </w:tcPr>
          <w:p w14:paraId="587668D7" w14:textId="77777777" w:rsidR="000B16A7" w:rsidRDefault="000B16A7" w:rsidP="00325D62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 xml:space="preserve">Koszt udostępniania </w:t>
            </w:r>
            <w:proofErr w:type="spellStart"/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sal</w:t>
            </w:r>
            <w:proofErr w:type="spellEnd"/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lekcyjnych (wkład niepieniężny)</w:t>
            </w:r>
          </w:p>
        </w:tc>
        <w:tc>
          <w:tcPr>
            <w:tcW w:w="1843" w:type="dxa"/>
          </w:tcPr>
          <w:p w14:paraId="51A0F4D8" w14:textId="77777777" w:rsidR="000B16A7" w:rsidRDefault="000B16A7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30 zł/godz</w:t>
            </w:r>
            <w:r w:rsidR="00325D62">
              <w:rPr>
                <w:rFonts w:asciiTheme="minorHAnsi" w:hAnsiTheme="minorHAnsi"/>
                <w:sz w:val="22"/>
                <w:szCs w:val="22"/>
              </w:rPr>
              <w:t>ina</w:t>
            </w:r>
          </w:p>
        </w:tc>
        <w:tc>
          <w:tcPr>
            <w:tcW w:w="4961" w:type="dxa"/>
          </w:tcPr>
          <w:p w14:paraId="26DDDC29" w14:textId="77777777" w:rsidR="000B16A7" w:rsidRDefault="000B16A7" w:rsidP="00454F2D">
            <w:pPr>
              <w:pStyle w:val="Default"/>
              <w:jc w:val="both"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Koszt dotyczy 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>s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ali lekcyjnej umożliwiającej przeprowadzenie zajęć dla grupy 20 uczniów 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oraz 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spełniającej wymogi 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>higieniczno-sanitarne</w:t>
            </w:r>
            <w:r w:rsidR="00010A7D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i 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>p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>rzeciw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>poż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>arowe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>.</w:t>
            </w:r>
            <w:r w:rsidR="00010A7D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Koszt uwzględnia podstawowe wyposażenie w krzesła, biurka i tablice.</w:t>
            </w:r>
          </w:p>
          <w:p w14:paraId="2853D4A2" w14:textId="77777777" w:rsidR="00010A7D" w:rsidRDefault="00010A7D" w:rsidP="00454F2D">
            <w:pPr>
              <w:pStyle w:val="Default"/>
              <w:jc w:val="both"/>
              <w:rPr>
                <w:rFonts w:asciiTheme="minorHAnsi" w:eastAsia="Calibri" w:hAnsiTheme="minorHAnsi"/>
                <w:bCs/>
                <w:sz w:val="22"/>
                <w:szCs w:val="22"/>
              </w:rPr>
            </w:pPr>
          </w:p>
          <w:p w14:paraId="3311061F" w14:textId="77777777" w:rsidR="00010A7D" w:rsidRPr="00EE3BC9" w:rsidRDefault="00010A7D" w:rsidP="00454F2D">
            <w:pPr>
              <w:pStyle w:val="Default"/>
              <w:jc w:val="both"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W przypadku gdy w ramach wkładu własnego niepieniężnego 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>w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>nioskodawca zamierza udostępnić na potrzeby projektu sale w kwocie wyż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>sz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ej 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>–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jest to możliwe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>,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o ile 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>udostępniana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sala będzie 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>posiadała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wyższe parametry 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>(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np. </w:t>
            </w:r>
            <w:r w:rsidR="00325D62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dodatkowy funkcjonalny 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metraż, </w:t>
            </w:r>
            <w:r w:rsidR="00B913D1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ponadpodstawowy 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>rodzaj wyposażenia</w:t>
            </w:r>
            <w:r w:rsidR="00B913D1">
              <w:rPr>
                <w:rFonts w:asciiTheme="minorHAnsi" w:eastAsia="Calibri" w:hAnsiTheme="minorHAnsi"/>
                <w:bCs/>
                <w:sz w:val="22"/>
                <w:szCs w:val="22"/>
              </w:rPr>
              <w:t>) oraz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</w:t>
            </w:r>
            <w:r w:rsidR="00B913D1">
              <w:rPr>
                <w:rFonts w:asciiTheme="minorHAnsi" w:eastAsia="Calibri" w:hAnsiTheme="minorHAnsi"/>
                <w:bCs/>
                <w:sz w:val="22"/>
                <w:szCs w:val="22"/>
              </w:rPr>
              <w:t>w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>nioskodawca przedstawi</w:t>
            </w:r>
            <w:r w:rsidR="00B913D1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we wniosku o dofinansowanie projektu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stosowne wyjaśnienie/</w:t>
            </w:r>
            <w:r w:rsidR="00B913D1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metodologię </w:t>
            </w:r>
            <w:r w:rsidR="00235471">
              <w:rPr>
                <w:rFonts w:asciiTheme="minorHAnsi" w:eastAsia="Calibri" w:hAnsiTheme="minorHAnsi"/>
                <w:bCs/>
                <w:sz w:val="22"/>
                <w:szCs w:val="22"/>
              </w:rPr>
              <w:t>i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w (przypadku szkoły publicznej) wskaże właściwy dokument</w:t>
            </w:r>
            <w:r w:rsidR="00B40D04">
              <w:rPr>
                <w:rFonts w:asciiTheme="minorHAnsi" w:eastAsia="Calibri" w:hAnsiTheme="minorHAnsi"/>
                <w:bCs/>
                <w:sz w:val="22"/>
                <w:szCs w:val="22"/>
              </w:rPr>
              <w:t>,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na podstawie którego zatwierdzono  stawkę (np. </w:t>
            </w:r>
            <w:r w:rsidR="00B913D1">
              <w:rPr>
                <w:rFonts w:asciiTheme="minorHAnsi" w:eastAsia="Calibri" w:hAnsiTheme="minorHAnsi"/>
                <w:bCs/>
                <w:sz w:val="22"/>
                <w:szCs w:val="22"/>
              </w:rPr>
              <w:t>uchwała rady powiatu, z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arządzenie </w:t>
            </w:r>
            <w:r w:rsidR="00B913D1">
              <w:rPr>
                <w:rFonts w:asciiTheme="minorHAnsi" w:eastAsia="Calibri" w:hAnsiTheme="minorHAnsi"/>
                <w:bCs/>
                <w:sz w:val="22"/>
                <w:szCs w:val="22"/>
              </w:rPr>
              <w:t>d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yrektora </w:t>
            </w:r>
            <w:r w:rsidR="00B913D1">
              <w:rPr>
                <w:rFonts w:asciiTheme="minorHAnsi" w:eastAsia="Calibri" w:hAnsiTheme="minorHAnsi"/>
                <w:bCs/>
                <w:sz w:val="22"/>
                <w:szCs w:val="22"/>
              </w:rPr>
              <w:t>s</w:t>
            </w:r>
            <w:r w:rsidR="007B086D">
              <w:rPr>
                <w:rFonts w:asciiTheme="minorHAnsi" w:eastAsia="Calibri" w:hAnsiTheme="minorHAnsi"/>
                <w:bCs/>
                <w:sz w:val="22"/>
                <w:szCs w:val="22"/>
              </w:rPr>
              <w:t>zkoły).</w:t>
            </w:r>
          </w:p>
        </w:tc>
      </w:tr>
      <w:tr w:rsidR="000E566A" w:rsidRPr="00EE3BC9" w14:paraId="359F82AB" w14:textId="77777777" w:rsidTr="00827C4A">
        <w:trPr>
          <w:trHeight w:val="414"/>
        </w:trPr>
        <w:tc>
          <w:tcPr>
            <w:tcW w:w="2268" w:type="dxa"/>
          </w:tcPr>
          <w:p w14:paraId="1E964831" w14:textId="5D75C02C" w:rsidR="000E566A" w:rsidRDefault="000E566A" w:rsidP="00325D62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Staż uczniowski</w:t>
            </w:r>
          </w:p>
        </w:tc>
        <w:tc>
          <w:tcPr>
            <w:tcW w:w="1843" w:type="dxa"/>
          </w:tcPr>
          <w:p w14:paraId="065C5167" w14:textId="095A4A54" w:rsidR="000E566A" w:rsidRDefault="000E566A" w:rsidP="00DE511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46"/>
            </w:tblGrid>
            <w:tr w:rsidR="000E566A" w:rsidRPr="000E566A" w14:paraId="67DAC6CD" w14:textId="77777777">
              <w:trPr>
                <w:trHeight w:val="1051"/>
              </w:trPr>
              <w:tc>
                <w:tcPr>
                  <w:tcW w:w="4746" w:type="dxa"/>
                </w:tcPr>
                <w:p w14:paraId="32F67846" w14:textId="77777777" w:rsidR="000E566A" w:rsidRPr="000E566A" w:rsidRDefault="000E566A" w:rsidP="000E566A">
                  <w:pPr>
                    <w:pStyle w:val="Default"/>
                    <w:jc w:val="both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0E566A">
                    <w:rPr>
                      <w:rFonts w:eastAsia="Calibri"/>
                      <w:b/>
                      <w:bCs/>
                      <w:sz w:val="22"/>
                      <w:szCs w:val="22"/>
                    </w:rPr>
                    <w:t xml:space="preserve">Wymiar godzinowy staży uczniowskich w ramach projektu w odniesieniu do jednego ucznia lub słuchacza będzie wynosił maksymalnie 150 godzin. </w:t>
                  </w:r>
                </w:p>
                <w:p w14:paraId="3470D652" w14:textId="77777777" w:rsidR="000E566A" w:rsidRPr="000E566A" w:rsidRDefault="000E566A" w:rsidP="000E566A">
                  <w:pPr>
                    <w:pStyle w:val="Default"/>
                    <w:jc w:val="both"/>
                    <w:rPr>
                      <w:rFonts w:eastAsia="Calibri"/>
                      <w:bCs/>
                    </w:rPr>
                  </w:pPr>
                  <w:r w:rsidRPr="000E566A">
                    <w:rPr>
                      <w:rFonts w:eastAsia="Calibri"/>
                      <w:bCs/>
                      <w:sz w:val="22"/>
                      <w:szCs w:val="22"/>
                    </w:rPr>
                    <w:t>Z uwagi na konieczność realizacji wskaźników kluczowych na wymaganym poziomie niezbędne jest ograniczenie długości realizacji staży uczniowskich dofinansowanych ze środków EFS.</w:t>
                  </w:r>
                  <w:r w:rsidRPr="000E566A">
                    <w:rPr>
                      <w:rFonts w:eastAsia="Calibri"/>
                      <w:bCs/>
                    </w:rPr>
                    <w:t xml:space="preserve"> </w:t>
                  </w:r>
                </w:p>
              </w:tc>
            </w:tr>
          </w:tbl>
          <w:p w14:paraId="1EAB887A" w14:textId="77777777" w:rsidR="000E566A" w:rsidRDefault="000E566A" w:rsidP="00454F2D">
            <w:pPr>
              <w:pStyle w:val="Default"/>
              <w:jc w:val="both"/>
              <w:rPr>
                <w:rFonts w:asciiTheme="minorHAnsi" w:eastAsia="Calibri" w:hAnsiTheme="minorHAnsi"/>
                <w:bCs/>
                <w:sz w:val="22"/>
                <w:szCs w:val="22"/>
              </w:rPr>
            </w:pPr>
          </w:p>
        </w:tc>
      </w:tr>
    </w:tbl>
    <w:p w14:paraId="2B374575" w14:textId="77777777" w:rsidR="007E0D58" w:rsidRPr="00BE5E0A" w:rsidRDefault="007E0D58" w:rsidP="00BE5E0A">
      <w:pPr>
        <w:shd w:val="clear" w:color="auto" w:fill="FFFFFF"/>
        <w:autoSpaceDE w:val="0"/>
        <w:autoSpaceDN w:val="0"/>
        <w:adjustRightInd w:val="0"/>
        <w:rPr>
          <w:rFonts w:eastAsia="Batang" w:cs="Calibri"/>
        </w:rPr>
      </w:pPr>
    </w:p>
    <w:p w14:paraId="02706855" w14:textId="77777777" w:rsidR="003F48CD" w:rsidRPr="00743F00" w:rsidRDefault="003F48CD" w:rsidP="00B91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b/>
        </w:rPr>
      </w:pPr>
      <w:r w:rsidRPr="00743F00">
        <w:rPr>
          <w:b/>
        </w:rPr>
        <w:t>Zalecenia odnośnie</w:t>
      </w:r>
      <w:r w:rsidR="00024D90" w:rsidRPr="00743F00">
        <w:rPr>
          <w:b/>
        </w:rPr>
        <w:t xml:space="preserve"> do</w:t>
      </w:r>
      <w:r w:rsidRPr="00743F00">
        <w:rPr>
          <w:b/>
        </w:rPr>
        <w:t xml:space="preserve"> zasad konstruowania budżetu szczegółowego projektu.</w:t>
      </w:r>
    </w:p>
    <w:p w14:paraId="2D5F3BA7" w14:textId="77777777" w:rsidR="005A7498" w:rsidRDefault="003F48CD" w:rsidP="007E0D58">
      <w:pPr>
        <w:spacing w:after="0"/>
        <w:jc w:val="both"/>
        <w:rPr>
          <w:b/>
          <w:u w:val="single"/>
        </w:rPr>
      </w:pPr>
      <w:r w:rsidRPr="00743F00">
        <w:rPr>
          <w:b/>
        </w:rPr>
        <w:t xml:space="preserve">IZ RPO WK-P zaleca, aby wydatki </w:t>
      </w:r>
      <w:r w:rsidR="005A7498" w:rsidRPr="00743F00">
        <w:rPr>
          <w:b/>
        </w:rPr>
        <w:t>w budżecie szczegółowym ujmować w tożsamych kategoriach zbiorczych, tzn. jako osobnych pozycji budżetowych nie ujmować wydatków, które można uwzględnić w budżecie w ramach wydatku o charakterze zbiorczym.</w:t>
      </w:r>
      <w:r w:rsidR="005A7498" w:rsidRPr="00743F00">
        <w:t xml:space="preserve"> </w:t>
      </w:r>
      <w:r w:rsidR="00454F2D" w:rsidRPr="00B50B9A">
        <w:rPr>
          <w:b/>
          <w:u w:val="single"/>
        </w:rPr>
        <w:t>Dotyczy to w szczególności kosztów związanych z zakupem</w:t>
      </w:r>
      <w:r w:rsidR="00454F2D">
        <w:rPr>
          <w:b/>
          <w:u w:val="single"/>
        </w:rPr>
        <w:t xml:space="preserve"> wyposażenia pracowni lub warsztatów szkolnych, pomocy dydaktycznych na potrzeby prowadzonych w projekcie zajęć itp. (niestanowiących środków trwałych o wartości </w:t>
      </w:r>
      <w:r w:rsidR="00162AA8">
        <w:rPr>
          <w:b/>
          <w:u w:val="single"/>
        </w:rPr>
        <w:t>wyższej niż</w:t>
      </w:r>
      <w:r w:rsidR="00454F2D">
        <w:rPr>
          <w:b/>
          <w:u w:val="single"/>
        </w:rPr>
        <w:t xml:space="preserve"> </w:t>
      </w:r>
      <w:r w:rsidR="00A35CAC">
        <w:rPr>
          <w:b/>
          <w:u w:val="single"/>
        </w:rPr>
        <w:t>10 000</w:t>
      </w:r>
      <w:r w:rsidR="00454F2D">
        <w:rPr>
          <w:b/>
          <w:u w:val="single"/>
        </w:rPr>
        <w:t xml:space="preserve"> zł netto i cross-</w:t>
      </w:r>
      <w:proofErr w:type="spellStart"/>
      <w:r w:rsidR="00454F2D">
        <w:rPr>
          <w:b/>
          <w:u w:val="single"/>
        </w:rPr>
        <w:t>financingu</w:t>
      </w:r>
      <w:proofErr w:type="spellEnd"/>
      <w:r w:rsidR="00454F2D">
        <w:rPr>
          <w:b/>
          <w:u w:val="single"/>
        </w:rPr>
        <w:t>), np</w:t>
      </w:r>
      <w:r w:rsidR="00454F2D" w:rsidRPr="00B50B9A">
        <w:rPr>
          <w:b/>
          <w:u w:val="single"/>
        </w:rPr>
        <w:t>.</w:t>
      </w:r>
    </w:p>
    <w:p w14:paraId="3980470B" w14:textId="77777777" w:rsidR="00454F2D" w:rsidRDefault="00454F2D" w:rsidP="007E0D58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8"/>
        <w:gridCol w:w="850"/>
        <w:gridCol w:w="1241"/>
        <w:gridCol w:w="1102"/>
        <w:gridCol w:w="1421"/>
      </w:tblGrid>
      <w:tr w:rsidR="00454F2D" w14:paraId="6EF7D6C3" w14:textId="77777777" w:rsidTr="00DE5114">
        <w:tc>
          <w:tcPr>
            <w:tcW w:w="4448" w:type="dxa"/>
            <w:shd w:val="clear" w:color="auto" w:fill="D9D9D9" w:themeFill="background1" w:themeFillShade="D9"/>
          </w:tcPr>
          <w:p w14:paraId="09324585" w14:textId="77777777" w:rsidR="00454F2D" w:rsidRPr="00B50B9A" w:rsidRDefault="00454F2D" w:rsidP="00DE5114">
            <w:pPr>
              <w:jc w:val="both"/>
              <w:rPr>
                <w:sz w:val="20"/>
                <w:szCs w:val="20"/>
              </w:rPr>
            </w:pPr>
            <w:r w:rsidRPr="00B50B9A"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8A1AE98" w14:textId="77777777" w:rsidR="00454F2D" w:rsidRPr="00B50B9A" w:rsidRDefault="00454F2D" w:rsidP="00DE5114">
            <w:pPr>
              <w:jc w:val="both"/>
              <w:rPr>
                <w:sz w:val="20"/>
                <w:szCs w:val="20"/>
              </w:rPr>
            </w:pPr>
            <w:r w:rsidRPr="00B50B9A">
              <w:rPr>
                <w:sz w:val="20"/>
                <w:szCs w:val="20"/>
              </w:rPr>
              <w:t>J.m.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1DB3EEAA" w14:textId="77777777" w:rsidR="00454F2D" w:rsidRPr="00B50B9A" w:rsidRDefault="00454F2D" w:rsidP="00DE5114">
            <w:pPr>
              <w:jc w:val="both"/>
              <w:rPr>
                <w:sz w:val="20"/>
                <w:szCs w:val="20"/>
              </w:rPr>
            </w:pPr>
            <w:r w:rsidRPr="00B50B9A">
              <w:rPr>
                <w:sz w:val="20"/>
                <w:szCs w:val="20"/>
              </w:rPr>
              <w:t>Liczba</w:t>
            </w:r>
          </w:p>
        </w:tc>
        <w:tc>
          <w:tcPr>
            <w:tcW w:w="1102" w:type="dxa"/>
            <w:shd w:val="clear" w:color="auto" w:fill="D9D9D9" w:themeFill="background1" w:themeFillShade="D9"/>
          </w:tcPr>
          <w:p w14:paraId="1AD7A363" w14:textId="77777777" w:rsidR="00454F2D" w:rsidRPr="00B50B9A" w:rsidRDefault="00454F2D" w:rsidP="00DE5114">
            <w:pPr>
              <w:jc w:val="both"/>
              <w:rPr>
                <w:sz w:val="20"/>
                <w:szCs w:val="20"/>
              </w:rPr>
            </w:pPr>
            <w:r w:rsidRPr="00B50B9A">
              <w:rPr>
                <w:sz w:val="20"/>
                <w:szCs w:val="20"/>
              </w:rPr>
              <w:t>Cena jedn.</w:t>
            </w:r>
          </w:p>
        </w:tc>
        <w:tc>
          <w:tcPr>
            <w:tcW w:w="1421" w:type="dxa"/>
            <w:shd w:val="clear" w:color="auto" w:fill="D9D9D9" w:themeFill="background1" w:themeFillShade="D9"/>
          </w:tcPr>
          <w:p w14:paraId="5DA3C635" w14:textId="77777777" w:rsidR="00454F2D" w:rsidRPr="00B50B9A" w:rsidRDefault="00454F2D" w:rsidP="00DE5114">
            <w:pPr>
              <w:jc w:val="both"/>
              <w:rPr>
                <w:sz w:val="20"/>
                <w:szCs w:val="20"/>
              </w:rPr>
            </w:pPr>
            <w:r w:rsidRPr="00B50B9A">
              <w:rPr>
                <w:sz w:val="20"/>
                <w:szCs w:val="20"/>
              </w:rPr>
              <w:t>Łącznie</w:t>
            </w:r>
          </w:p>
        </w:tc>
      </w:tr>
      <w:tr w:rsidR="00454F2D" w14:paraId="5FC75B6C" w14:textId="77777777" w:rsidTr="00DE5114">
        <w:tc>
          <w:tcPr>
            <w:tcW w:w="4448" w:type="dxa"/>
          </w:tcPr>
          <w:p w14:paraId="34F6EC2E" w14:textId="77777777" w:rsidR="00454F2D" w:rsidRDefault="00454F2D" w:rsidP="00DE5114">
            <w:pPr>
              <w:jc w:val="both"/>
            </w:pPr>
            <w:r>
              <w:t xml:space="preserve">Wyposażenie pracowni nauki zawodu technik mechatronik (TM </w:t>
            </w:r>
            <w:r w:rsidR="00E47B52">
              <w:t>X</w:t>
            </w:r>
            <w:r>
              <w:t>)</w:t>
            </w:r>
          </w:p>
        </w:tc>
        <w:tc>
          <w:tcPr>
            <w:tcW w:w="850" w:type="dxa"/>
          </w:tcPr>
          <w:p w14:paraId="7FCF6591" w14:textId="77777777" w:rsidR="00454F2D" w:rsidRDefault="00454F2D" w:rsidP="00DE5114">
            <w:pPr>
              <w:jc w:val="both"/>
            </w:pPr>
            <w:r>
              <w:t>zestaw</w:t>
            </w:r>
          </w:p>
        </w:tc>
        <w:tc>
          <w:tcPr>
            <w:tcW w:w="1241" w:type="dxa"/>
          </w:tcPr>
          <w:p w14:paraId="5278691B" w14:textId="77777777" w:rsidR="00454F2D" w:rsidRDefault="00454F2D" w:rsidP="00DE5114">
            <w:pPr>
              <w:jc w:val="both"/>
            </w:pPr>
            <w:r>
              <w:t>1</w:t>
            </w:r>
          </w:p>
        </w:tc>
        <w:tc>
          <w:tcPr>
            <w:tcW w:w="1102" w:type="dxa"/>
          </w:tcPr>
          <w:p w14:paraId="70650D58" w14:textId="77777777" w:rsidR="00454F2D" w:rsidRDefault="00454F2D" w:rsidP="00DE5114">
            <w:pPr>
              <w:jc w:val="both"/>
            </w:pPr>
            <w:r>
              <w:t>1</w:t>
            </w:r>
            <w:r w:rsidR="00F37211">
              <w:t>2</w:t>
            </w:r>
            <w:r>
              <w:t xml:space="preserve"> 820,00</w:t>
            </w:r>
          </w:p>
        </w:tc>
        <w:tc>
          <w:tcPr>
            <w:tcW w:w="1421" w:type="dxa"/>
          </w:tcPr>
          <w:p w14:paraId="6FBDCF51" w14:textId="77777777" w:rsidR="00454F2D" w:rsidRDefault="00454F2D" w:rsidP="00DE5114">
            <w:pPr>
              <w:jc w:val="both"/>
            </w:pPr>
            <w:r>
              <w:t>1</w:t>
            </w:r>
            <w:r w:rsidR="00F37211">
              <w:t>2</w:t>
            </w:r>
            <w:r>
              <w:t xml:space="preserve"> 820,00</w:t>
            </w:r>
          </w:p>
        </w:tc>
      </w:tr>
      <w:tr w:rsidR="00454F2D" w14:paraId="1ECA8175" w14:textId="77777777" w:rsidTr="00DE5114">
        <w:tc>
          <w:tcPr>
            <w:tcW w:w="4448" w:type="dxa"/>
          </w:tcPr>
          <w:p w14:paraId="7E0B27F4" w14:textId="77777777" w:rsidR="00454F2D" w:rsidRDefault="00454F2D" w:rsidP="00DE5114">
            <w:pPr>
              <w:jc w:val="both"/>
            </w:pPr>
            <w:r>
              <w:t xml:space="preserve">Pomoce dydaktyczne na praktyczne zajęcia specjalistyczne z zakresu kuchni świata dla t. żywienia i usług </w:t>
            </w:r>
            <w:proofErr w:type="spellStart"/>
            <w:r>
              <w:t>gast</w:t>
            </w:r>
            <w:proofErr w:type="spellEnd"/>
            <w:r>
              <w:t xml:space="preserve">. (TG </w:t>
            </w:r>
            <w:r w:rsidR="00E47B52">
              <w:t>X</w:t>
            </w:r>
            <w:r>
              <w:t>)</w:t>
            </w:r>
          </w:p>
          <w:p w14:paraId="0D08C729" w14:textId="77777777" w:rsidR="00454F2D" w:rsidRDefault="00454F2D" w:rsidP="00DE5114">
            <w:pPr>
              <w:jc w:val="both"/>
            </w:pPr>
          </w:p>
        </w:tc>
        <w:tc>
          <w:tcPr>
            <w:tcW w:w="850" w:type="dxa"/>
          </w:tcPr>
          <w:p w14:paraId="24CD2BC4" w14:textId="77777777" w:rsidR="00454F2D" w:rsidRDefault="00454F2D" w:rsidP="00DE5114">
            <w:pPr>
              <w:jc w:val="both"/>
            </w:pPr>
            <w:r>
              <w:t>zestaw</w:t>
            </w:r>
          </w:p>
        </w:tc>
        <w:tc>
          <w:tcPr>
            <w:tcW w:w="1241" w:type="dxa"/>
          </w:tcPr>
          <w:p w14:paraId="6E14B6B2" w14:textId="77777777" w:rsidR="00454F2D" w:rsidRDefault="00454F2D" w:rsidP="00DE5114">
            <w:pPr>
              <w:jc w:val="both"/>
            </w:pPr>
            <w:r>
              <w:t>30</w:t>
            </w:r>
          </w:p>
        </w:tc>
        <w:tc>
          <w:tcPr>
            <w:tcW w:w="1102" w:type="dxa"/>
          </w:tcPr>
          <w:p w14:paraId="2BB1C938" w14:textId="77777777" w:rsidR="00454F2D" w:rsidRDefault="00454F2D" w:rsidP="00DE5114">
            <w:pPr>
              <w:jc w:val="both"/>
            </w:pPr>
            <w:r>
              <w:t>250,00</w:t>
            </w:r>
          </w:p>
        </w:tc>
        <w:tc>
          <w:tcPr>
            <w:tcW w:w="1421" w:type="dxa"/>
          </w:tcPr>
          <w:p w14:paraId="5E813B3D" w14:textId="77777777" w:rsidR="00454F2D" w:rsidRDefault="00454F2D" w:rsidP="00DE5114">
            <w:pPr>
              <w:jc w:val="both"/>
            </w:pPr>
            <w:r>
              <w:t>7 500,00</w:t>
            </w:r>
          </w:p>
        </w:tc>
      </w:tr>
    </w:tbl>
    <w:p w14:paraId="59D5275D" w14:textId="77777777" w:rsidR="007E0D58" w:rsidRPr="00743F00" w:rsidRDefault="007E0D58" w:rsidP="007E0D58">
      <w:pPr>
        <w:spacing w:after="0"/>
        <w:jc w:val="both"/>
      </w:pPr>
    </w:p>
    <w:p w14:paraId="61540E06" w14:textId="77777777" w:rsidR="00E02C7C" w:rsidRPr="00743F00" w:rsidRDefault="00E02C7C" w:rsidP="00657967">
      <w:pPr>
        <w:spacing w:after="0"/>
        <w:jc w:val="both"/>
      </w:pPr>
      <w:r w:rsidRPr="00743F00">
        <w:rPr>
          <w:b/>
        </w:rPr>
        <w:t>W uzasadnieniu kosztów specyficznych należy podać</w:t>
      </w:r>
      <w:r w:rsidR="00024D90" w:rsidRPr="00743F00">
        <w:rPr>
          <w:b/>
        </w:rPr>
        <w:t>,</w:t>
      </w:r>
      <w:r w:rsidRPr="00743F00">
        <w:rPr>
          <w:b/>
        </w:rPr>
        <w:t xml:space="preserve"> co wchodzi w skład zestawu. </w:t>
      </w:r>
      <w:r w:rsidR="006E29A5" w:rsidRPr="00454F2D">
        <w:t>Co do zasady</w:t>
      </w:r>
      <w:r w:rsidR="006E29A5" w:rsidRPr="00743F00">
        <w:t xml:space="preserve"> w</w:t>
      </w:r>
      <w:r w:rsidRPr="00743F00">
        <w:t xml:space="preserve"> przypadku z</w:t>
      </w:r>
      <w:r w:rsidR="003E370F" w:rsidRPr="00743F00">
        <w:t>estawów</w:t>
      </w:r>
      <w:r w:rsidR="006E29A5" w:rsidRPr="00743F00">
        <w:t xml:space="preserve"> o niewielkiej wartości</w:t>
      </w:r>
      <w:r w:rsidR="007E0D58">
        <w:t xml:space="preserve"> </w:t>
      </w:r>
      <w:r w:rsidR="00284CE0" w:rsidRPr="00743F00">
        <w:t xml:space="preserve"> </w:t>
      </w:r>
      <w:r w:rsidRPr="00743F00">
        <w:t xml:space="preserve">wystarczające jest wskazanie </w:t>
      </w:r>
      <w:r w:rsidR="003E370F" w:rsidRPr="00743F00">
        <w:t>element</w:t>
      </w:r>
      <w:r w:rsidR="00317BB1" w:rsidRPr="00743F00">
        <w:t>ów wchodzących w skład zestawu. W przypadku</w:t>
      </w:r>
      <w:r w:rsidR="006E29A5" w:rsidRPr="00743F00">
        <w:t xml:space="preserve"> </w:t>
      </w:r>
      <w:r w:rsidR="00EB032C" w:rsidRPr="00743F00">
        <w:t xml:space="preserve">zestawów </w:t>
      </w:r>
      <w:r w:rsidR="006E29A5" w:rsidRPr="00743F00">
        <w:t>o większej wartości i</w:t>
      </w:r>
      <w:r w:rsidR="00317BB1" w:rsidRPr="00743F00">
        <w:t xml:space="preserve"> zestawów, w których ocena racjonalności jedynie na podstawie określenia elementów składowych może być utrudniona, w uzasadnieniu należy wskazać również ceny jednostkowe</w:t>
      </w:r>
      <w:r w:rsidR="00882A59" w:rsidRPr="00743F00">
        <w:t>, np. w gdy w skład zestawu wchodzą elementy, których ceny jednostkowe nie są publicznie dostępne</w:t>
      </w:r>
      <w:r w:rsidR="001378B1" w:rsidRPr="00743F00">
        <w:t xml:space="preserve"> lub</w:t>
      </w:r>
      <w:r w:rsidR="00882A59" w:rsidRPr="00743F00">
        <w:t xml:space="preserve"> </w:t>
      </w:r>
      <w:r w:rsidR="001378B1" w:rsidRPr="00743F00">
        <w:t>gdy</w:t>
      </w:r>
      <w:r w:rsidR="00882A59" w:rsidRPr="00743F00">
        <w:t xml:space="preserve"> istnieją wątpliwości co d</w:t>
      </w:r>
      <w:r w:rsidR="001378B1" w:rsidRPr="00743F00">
        <w:t>o sposobu kalkulacji wydatku.</w:t>
      </w:r>
      <w:r w:rsidR="000B430D" w:rsidRPr="00743F00">
        <w:t xml:space="preserve"> Przykład:</w:t>
      </w:r>
    </w:p>
    <w:p w14:paraId="70AAE3F4" w14:textId="77777777" w:rsidR="00657967" w:rsidRPr="00743F00" w:rsidRDefault="00657967" w:rsidP="00657967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7"/>
        <w:gridCol w:w="7265"/>
      </w:tblGrid>
      <w:tr w:rsidR="00454F2D" w14:paraId="0848976B" w14:textId="77777777" w:rsidTr="00DE5114">
        <w:tc>
          <w:tcPr>
            <w:tcW w:w="1797" w:type="dxa"/>
            <w:shd w:val="clear" w:color="auto" w:fill="D9D9D9" w:themeFill="background1" w:themeFillShade="D9"/>
          </w:tcPr>
          <w:p w14:paraId="66F7F76E" w14:textId="77777777" w:rsidR="00454F2D" w:rsidRPr="007C5A4C" w:rsidRDefault="00454F2D" w:rsidP="00DE5114">
            <w:pPr>
              <w:rPr>
                <w:sz w:val="20"/>
                <w:szCs w:val="20"/>
              </w:rPr>
            </w:pPr>
            <w:r w:rsidRPr="007C5A4C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ume</w:t>
            </w:r>
            <w:r w:rsidRPr="007C5A4C">
              <w:rPr>
                <w:sz w:val="20"/>
                <w:szCs w:val="20"/>
              </w:rPr>
              <w:t>r poz</w:t>
            </w:r>
            <w:r>
              <w:rPr>
                <w:sz w:val="20"/>
                <w:szCs w:val="20"/>
              </w:rPr>
              <w:t xml:space="preserve">ycji </w:t>
            </w:r>
            <w:r w:rsidRPr="007C5A4C">
              <w:rPr>
                <w:sz w:val="20"/>
                <w:szCs w:val="20"/>
              </w:rPr>
              <w:t>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51DC3776" w14:textId="77777777" w:rsidR="00454F2D" w:rsidRDefault="00454F2D" w:rsidP="00DE5114">
            <w:pPr>
              <w:jc w:val="both"/>
            </w:pPr>
            <w:r>
              <w:t xml:space="preserve">1 - Wyposażenie pracowni nauki zawodu technik mechatronik (TM </w:t>
            </w:r>
            <w:r w:rsidR="00E47B52">
              <w:t>X</w:t>
            </w:r>
            <w:r>
              <w:t>)</w:t>
            </w:r>
          </w:p>
        </w:tc>
      </w:tr>
      <w:tr w:rsidR="00454F2D" w14:paraId="24766FFF" w14:textId="77777777" w:rsidTr="00DE5114">
        <w:trPr>
          <w:trHeight w:val="667"/>
        </w:trPr>
        <w:tc>
          <w:tcPr>
            <w:tcW w:w="1797" w:type="dxa"/>
            <w:shd w:val="clear" w:color="auto" w:fill="D9D9D9" w:themeFill="background1" w:themeFillShade="D9"/>
          </w:tcPr>
          <w:p w14:paraId="63E58669" w14:textId="77777777" w:rsidR="00454F2D" w:rsidRPr="007C5A4C" w:rsidRDefault="00454F2D" w:rsidP="00DE5114">
            <w:pPr>
              <w:jc w:val="both"/>
              <w:rPr>
                <w:sz w:val="20"/>
                <w:szCs w:val="20"/>
              </w:rPr>
            </w:pPr>
            <w:r w:rsidRPr="007C5A4C">
              <w:rPr>
                <w:sz w:val="20"/>
                <w:szCs w:val="20"/>
              </w:rPr>
              <w:t>Uzasadnienie</w:t>
            </w:r>
          </w:p>
        </w:tc>
        <w:tc>
          <w:tcPr>
            <w:tcW w:w="7265" w:type="dxa"/>
          </w:tcPr>
          <w:p w14:paraId="7762603A" w14:textId="77777777" w:rsidR="00454F2D" w:rsidRDefault="00454F2D" w:rsidP="00DE511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W skład zestawu wchodzą: </w:t>
            </w:r>
          </w:p>
          <w:p w14:paraId="14129B77" w14:textId="77777777" w:rsidR="00454F2D" w:rsidRDefault="00454F2D" w:rsidP="00DE511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czujnik pojemnościowy: 12 sztuk*60 zł = 720 zł</w:t>
            </w:r>
          </w:p>
          <w:p w14:paraId="28E2EA97" w14:textId="77777777" w:rsidR="00454F2D" w:rsidRDefault="00454F2D" w:rsidP="00DE511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rezystor suwakowy: 6 sztuk*500 zł = 3 000 zł</w:t>
            </w:r>
          </w:p>
          <w:p w14:paraId="244E6BD6" w14:textId="77777777" w:rsidR="00454F2D" w:rsidRDefault="00454F2D" w:rsidP="00DE511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watomierz analogowy: 3 sztuki*1 800 zł = 5 400 zł</w:t>
            </w:r>
          </w:p>
          <w:p w14:paraId="6F8BC76F" w14:textId="77777777" w:rsidR="00454F2D" w:rsidRDefault="00454F2D" w:rsidP="00DE5114">
            <w:pPr>
              <w:jc w:val="both"/>
              <w:rPr>
                <w:rFonts w:cs="Arial"/>
              </w:rPr>
            </w:pPr>
            <w:r w:rsidRPr="00B470A6">
              <w:rPr>
                <w:rFonts w:cs="Arial"/>
              </w:rPr>
              <w:t>komputer</w:t>
            </w:r>
            <w:r>
              <w:rPr>
                <w:rFonts w:cs="Arial"/>
              </w:rPr>
              <w:t xml:space="preserve"> </w:t>
            </w:r>
            <w:r w:rsidRPr="00B470A6">
              <w:rPr>
                <w:rFonts w:cs="Arial"/>
              </w:rPr>
              <w:t>stacjonarny z oprogramowaniem</w:t>
            </w:r>
            <w:r>
              <w:rPr>
                <w:rFonts w:cs="Arial"/>
              </w:rPr>
              <w:t>: 1 sztuka*2 500 zł = 2 500 zł</w:t>
            </w:r>
          </w:p>
          <w:p w14:paraId="606ECD3B" w14:textId="77777777" w:rsidR="00454F2D" w:rsidRDefault="00454F2D" w:rsidP="00DE5114">
            <w:pPr>
              <w:jc w:val="both"/>
              <w:rPr>
                <w:rFonts w:cs="Arial"/>
              </w:rPr>
            </w:pPr>
            <w:r w:rsidRPr="00A875FD">
              <w:rPr>
                <w:rFonts w:cs="Arial"/>
              </w:rPr>
              <w:t>drukarka laserowa ze skanerem i kopiarką</w:t>
            </w:r>
            <w:r>
              <w:rPr>
                <w:rFonts w:cs="Arial"/>
              </w:rPr>
              <w:t xml:space="preserve">: 1 sztuka*1 200 zł = 1 200 zł. </w:t>
            </w:r>
          </w:p>
          <w:p w14:paraId="15C43D75" w14:textId="77777777" w:rsidR="00454F2D" w:rsidRDefault="00454F2D" w:rsidP="00DE5114">
            <w:pPr>
              <w:jc w:val="both"/>
            </w:pPr>
            <w:r>
              <w:t>Łącznie 1</w:t>
            </w:r>
            <w:r w:rsidR="00F37211">
              <w:t>2</w:t>
            </w:r>
            <w:r>
              <w:t xml:space="preserve"> 820 zł. </w:t>
            </w:r>
          </w:p>
        </w:tc>
      </w:tr>
      <w:tr w:rsidR="00454F2D" w14:paraId="6F145A4E" w14:textId="77777777" w:rsidTr="00DE5114">
        <w:trPr>
          <w:trHeight w:val="667"/>
        </w:trPr>
        <w:tc>
          <w:tcPr>
            <w:tcW w:w="1797" w:type="dxa"/>
            <w:shd w:val="clear" w:color="auto" w:fill="D9D9D9" w:themeFill="background1" w:themeFillShade="D9"/>
          </w:tcPr>
          <w:p w14:paraId="6EB34FD8" w14:textId="77777777" w:rsidR="00454F2D" w:rsidRPr="007C5A4C" w:rsidRDefault="00454F2D" w:rsidP="00DE5114">
            <w:pPr>
              <w:jc w:val="both"/>
              <w:rPr>
                <w:sz w:val="20"/>
                <w:szCs w:val="20"/>
              </w:rPr>
            </w:pPr>
            <w:r w:rsidRPr="007C5A4C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ume</w:t>
            </w:r>
            <w:r w:rsidRPr="007C5A4C">
              <w:rPr>
                <w:sz w:val="20"/>
                <w:szCs w:val="20"/>
              </w:rPr>
              <w:t>r poz</w:t>
            </w:r>
            <w:r>
              <w:rPr>
                <w:sz w:val="20"/>
                <w:szCs w:val="20"/>
              </w:rPr>
              <w:t xml:space="preserve">ycji </w:t>
            </w:r>
            <w:r w:rsidRPr="007C5A4C">
              <w:rPr>
                <w:sz w:val="20"/>
                <w:szCs w:val="20"/>
              </w:rPr>
              <w:t>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700AF2DF" w14:textId="77777777" w:rsidR="00454F2D" w:rsidRDefault="00454F2D" w:rsidP="00DE511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2 - </w:t>
            </w:r>
            <w:r>
              <w:t xml:space="preserve">Pomoce dydaktyczne na praktyczne zajęcia specjalistyczne z zakresu kuchni świata dla t. żywienia i usług </w:t>
            </w:r>
            <w:proofErr w:type="spellStart"/>
            <w:r>
              <w:t>gast</w:t>
            </w:r>
            <w:proofErr w:type="spellEnd"/>
            <w:r>
              <w:t xml:space="preserve">. (TG </w:t>
            </w:r>
            <w:r w:rsidR="00E47B52">
              <w:t>X</w:t>
            </w:r>
            <w:r>
              <w:t>)</w:t>
            </w:r>
          </w:p>
        </w:tc>
      </w:tr>
      <w:tr w:rsidR="00454F2D" w14:paraId="37829F86" w14:textId="77777777" w:rsidTr="00DE5114">
        <w:trPr>
          <w:trHeight w:val="667"/>
        </w:trPr>
        <w:tc>
          <w:tcPr>
            <w:tcW w:w="1797" w:type="dxa"/>
            <w:shd w:val="clear" w:color="auto" w:fill="D9D9D9" w:themeFill="background1" w:themeFillShade="D9"/>
          </w:tcPr>
          <w:p w14:paraId="7AD967EE" w14:textId="77777777" w:rsidR="00454F2D" w:rsidRPr="007C5A4C" w:rsidRDefault="00454F2D" w:rsidP="00DE5114">
            <w:pPr>
              <w:jc w:val="both"/>
              <w:rPr>
                <w:sz w:val="20"/>
                <w:szCs w:val="20"/>
              </w:rPr>
            </w:pPr>
            <w:r w:rsidRPr="007C5A4C">
              <w:rPr>
                <w:sz w:val="20"/>
                <w:szCs w:val="20"/>
              </w:rPr>
              <w:t>Uzasadnienie</w:t>
            </w:r>
          </w:p>
        </w:tc>
        <w:tc>
          <w:tcPr>
            <w:tcW w:w="7265" w:type="dxa"/>
          </w:tcPr>
          <w:p w14:paraId="01751093" w14:textId="77777777" w:rsidR="00454F2D" w:rsidRDefault="00454F2D" w:rsidP="00DE511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W skład zestawu wchodzą: </w:t>
            </w:r>
            <w:r w:rsidRPr="006637F0">
              <w:rPr>
                <w:rFonts w:cs="Arial"/>
              </w:rPr>
              <w:t>wołowina, cielęcina, drób, ryby, wieprzowina, zioła, przyprawy, tł</w:t>
            </w:r>
            <w:r>
              <w:rPr>
                <w:rFonts w:cs="Arial"/>
              </w:rPr>
              <w:t>uszcze, nabiał, owoce, warzywa, itp.</w:t>
            </w:r>
          </w:p>
          <w:p w14:paraId="0309754E" w14:textId="77777777" w:rsidR="00454F2D" w:rsidRDefault="00454F2D" w:rsidP="00DE5114">
            <w:pPr>
              <w:jc w:val="both"/>
              <w:rPr>
                <w:rFonts w:cs="Arial"/>
              </w:rPr>
            </w:pPr>
            <w:r w:rsidRPr="006637F0">
              <w:rPr>
                <w:rFonts w:cs="Arial"/>
              </w:rPr>
              <w:t xml:space="preserve">Średni koszt przypadający na </w:t>
            </w:r>
            <w:r>
              <w:rPr>
                <w:rFonts w:cs="Arial"/>
              </w:rPr>
              <w:t xml:space="preserve">ucznia to 250 zł za 4 godziny zajęć. </w:t>
            </w:r>
          </w:p>
          <w:p w14:paraId="1CE5D0A9" w14:textId="77777777" w:rsidR="00454F2D" w:rsidRDefault="00454F2D" w:rsidP="00DE5114">
            <w:pPr>
              <w:jc w:val="both"/>
              <w:rPr>
                <w:rFonts w:cs="Arial"/>
              </w:rPr>
            </w:pPr>
            <w:r w:rsidRPr="006637F0">
              <w:rPr>
                <w:rFonts w:cs="Arial"/>
              </w:rPr>
              <w:t xml:space="preserve">Koszt oszacowany na podstawie doświadczenia </w:t>
            </w:r>
            <w:r w:rsidR="00F37211">
              <w:rPr>
                <w:rFonts w:cs="Arial"/>
              </w:rPr>
              <w:t>s</w:t>
            </w:r>
            <w:r>
              <w:rPr>
                <w:rFonts w:cs="Arial"/>
              </w:rPr>
              <w:t>zkoły</w:t>
            </w:r>
            <w:r w:rsidR="00F37211">
              <w:rPr>
                <w:rFonts w:cs="Arial"/>
              </w:rPr>
              <w:t xml:space="preserve"> w realizacji podobnych zajęć</w:t>
            </w:r>
            <w:r w:rsidRPr="006637F0">
              <w:rPr>
                <w:rFonts w:cs="Arial"/>
              </w:rPr>
              <w:t>.</w:t>
            </w:r>
          </w:p>
        </w:tc>
      </w:tr>
    </w:tbl>
    <w:p w14:paraId="292EA4BF" w14:textId="77777777" w:rsidR="00F37211" w:rsidRPr="00743F00" w:rsidRDefault="00F37211" w:rsidP="00F37211">
      <w:pPr>
        <w:spacing w:after="0"/>
        <w:jc w:val="both"/>
        <w:rPr>
          <w:rFonts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452CF" w:rsidRPr="00743F00" w14:paraId="3DE408E1" w14:textId="77777777" w:rsidTr="00F73C3E">
        <w:tc>
          <w:tcPr>
            <w:tcW w:w="9212" w:type="dxa"/>
            <w:shd w:val="clear" w:color="auto" w:fill="D9D9D9" w:themeFill="background1" w:themeFillShade="D9"/>
          </w:tcPr>
          <w:p w14:paraId="7D72F313" w14:textId="77777777" w:rsidR="006452CF" w:rsidRPr="00743F00" w:rsidRDefault="006452CF" w:rsidP="00DE5114">
            <w:pPr>
              <w:jc w:val="both"/>
              <w:rPr>
                <w:b/>
              </w:rPr>
            </w:pPr>
            <w:r w:rsidRPr="00743F00">
              <w:rPr>
                <w:b/>
              </w:rPr>
              <w:t>Nazwy kosztów w budżecie projektu</w:t>
            </w:r>
          </w:p>
        </w:tc>
      </w:tr>
    </w:tbl>
    <w:p w14:paraId="703565A5" w14:textId="77777777" w:rsidR="006452CF" w:rsidRPr="00743F00" w:rsidRDefault="006452CF" w:rsidP="006452CF">
      <w:pPr>
        <w:spacing w:after="0"/>
        <w:jc w:val="both"/>
      </w:pPr>
    </w:p>
    <w:p w14:paraId="4B8956D6" w14:textId="77777777" w:rsidR="006452CF" w:rsidRPr="00743F00" w:rsidRDefault="006452CF" w:rsidP="006452CF">
      <w:pPr>
        <w:spacing w:after="0"/>
        <w:jc w:val="both"/>
        <w:rPr>
          <w:rFonts w:cs="Calibri"/>
        </w:rPr>
      </w:pPr>
      <w:r w:rsidRPr="00743F00">
        <w:rPr>
          <w:rFonts w:cs="Calibri"/>
        </w:rPr>
        <w:t>Wnioskodawca nie powinien wskazywać w szczegółowym budżecie projektu informacji typu forma zaangażowania, liczba godzin zajęć, liczba grup zajęciowych, liczba osób na zajęciach, częstotliwość zajęć, cena jednostkowa itp. Informacje te należy wykazywać w uzasadnieniach dla poszczególnych wydatków pod szczegółowym budżetem projektu. Zgodnie z zaleceniami IK UP do centralnego systemu teleinformatycznego SL2014 nazwy pozycji powinny być odpowiednio ogólne tak, aby drobne zmiany, które pojawiają się w trakcie realizacji projektu nie wiązały się ze zmianą nazw kosztów.</w:t>
      </w:r>
    </w:p>
    <w:p w14:paraId="6ED53F28" w14:textId="77777777" w:rsidR="006B1E5B" w:rsidRDefault="006B1E5B" w:rsidP="006452CF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4048" w14:paraId="39475486" w14:textId="77777777" w:rsidTr="0000404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E4E58F" w14:textId="77777777" w:rsidR="00004048" w:rsidRDefault="00004048">
            <w:pPr>
              <w:jc w:val="both"/>
              <w:rPr>
                <w:b/>
              </w:rPr>
            </w:pPr>
            <w:r>
              <w:rPr>
                <w:b/>
              </w:rPr>
              <w:t>Cross-</w:t>
            </w:r>
            <w:proofErr w:type="spellStart"/>
            <w:r>
              <w:rPr>
                <w:b/>
              </w:rPr>
              <w:t>financing</w:t>
            </w:r>
            <w:proofErr w:type="spellEnd"/>
          </w:p>
        </w:tc>
      </w:tr>
    </w:tbl>
    <w:p w14:paraId="00826DA7" w14:textId="77777777" w:rsidR="00004048" w:rsidRDefault="00004048" w:rsidP="00004048">
      <w:pPr>
        <w:spacing w:after="0"/>
        <w:jc w:val="both"/>
      </w:pPr>
    </w:p>
    <w:p w14:paraId="26B55265" w14:textId="77777777" w:rsidR="00004048" w:rsidRDefault="00004048" w:rsidP="00004048">
      <w:pPr>
        <w:autoSpaceDE w:val="0"/>
        <w:autoSpaceDN w:val="0"/>
        <w:adjustRightInd w:val="0"/>
        <w:spacing w:after="0"/>
      </w:pPr>
      <w:r>
        <w:t xml:space="preserve">W przypadku projektów współfinansowanych z EFS </w:t>
      </w:r>
      <w:r>
        <w:rPr>
          <w:b/>
        </w:rPr>
        <w:t>cross-</w:t>
      </w:r>
      <w:proofErr w:type="spellStart"/>
      <w:r>
        <w:rPr>
          <w:b/>
        </w:rPr>
        <w:t>financing</w:t>
      </w:r>
      <w:proofErr w:type="spellEnd"/>
      <w:r>
        <w:t xml:space="preserve"> może dotyczyć wyłącznie:</w:t>
      </w:r>
    </w:p>
    <w:p w14:paraId="1526C569" w14:textId="77777777" w:rsidR="00004048" w:rsidRDefault="00004048" w:rsidP="00004048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jc w:val="both"/>
        <w:rPr>
          <w:noProof/>
        </w:rPr>
      </w:pPr>
      <w:r>
        <w:t>zakupu nieruchomości,</w:t>
      </w:r>
    </w:p>
    <w:p w14:paraId="0B700E86" w14:textId="77777777" w:rsidR="009F282D" w:rsidRDefault="00004048" w:rsidP="00004048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jc w:val="both"/>
        <w:rPr>
          <w:noProof/>
        </w:rPr>
      </w:pPr>
      <w:r>
        <w:t>zakupu infrastruktury, przy czym poprzez infrastrukturę rozumie się elementy nieprzenośne, na stałe przytwierdzone do nieruchomości, np. wykonanie podjazdu do budynku, zainstalowanie windy w budynku,</w:t>
      </w:r>
    </w:p>
    <w:p w14:paraId="64E9DD71" w14:textId="77777777" w:rsidR="00004048" w:rsidRDefault="00004048" w:rsidP="00004048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jc w:val="both"/>
        <w:rPr>
          <w:noProof/>
        </w:rPr>
      </w:pPr>
      <w:r>
        <w:t>dostosowania lub adaptacji (prace remontowo-wykończeniowe) budynków i pomieszczeń</w:t>
      </w:r>
      <w:r w:rsidR="00587E8E">
        <w:t>, w</w:t>
      </w:r>
      <w:r w:rsidR="00511A0F">
        <w:t> </w:t>
      </w:r>
      <w:r w:rsidR="00587E8E">
        <w:t>tym wydatków niezbędnych do przeprowadzenia tych prac i wchodzących w ich zakres</w:t>
      </w:r>
      <w:r>
        <w:t>.</w:t>
      </w:r>
    </w:p>
    <w:p w14:paraId="7AE1276E" w14:textId="77777777" w:rsidR="00004048" w:rsidRDefault="00004048" w:rsidP="00004048">
      <w:pPr>
        <w:spacing w:after="0"/>
        <w:jc w:val="both"/>
      </w:pPr>
    </w:p>
    <w:p w14:paraId="2AB2945C" w14:textId="77777777" w:rsidR="00004048" w:rsidRDefault="00004048" w:rsidP="006452CF">
      <w:pPr>
        <w:spacing w:after="0"/>
        <w:jc w:val="both"/>
      </w:pPr>
      <w:r>
        <w:t>IZ RPO WK-P informuje, iż do kosztów związanych z cross-</w:t>
      </w:r>
      <w:proofErr w:type="spellStart"/>
      <w:r>
        <w:t>financingiem</w:t>
      </w:r>
      <w:proofErr w:type="spellEnd"/>
      <w:r>
        <w:t xml:space="preserve"> w zakresie dostosowania lub adaptacji pomieszczeń, oprócz kosztów związanych z pracami remontowo-wykończeniowymi, należy </w:t>
      </w:r>
      <w:r>
        <w:lastRenderedPageBreak/>
        <w:t>zaliczyć takie koszty w budżecie, jak: zlewy, krany, meble pod wymiar i zabudowę itp., które są na stałe przytwierdzone do ścian/budynku.</w:t>
      </w:r>
    </w:p>
    <w:p w14:paraId="1FF24865" w14:textId="77777777" w:rsidR="00004048" w:rsidRPr="00743F00" w:rsidRDefault="00004048" w:rsidP="006452CF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0C12" w:rsidRPr="00743F00" w14:paraId="420EAC87" w14:textId="77777777" w:rsidTr="00F73C3E">
        <w:tc>
          <w:tcPr>
            <w:tcW w:w="9212" w:type="dxa"/>
            <w:shd w:val="clear" w:color="auto" w:fill="D9D9D9" w:themeFill="background1" w:themeFillShade="D9"/>
          </w:tcPr>
          <w:p w14:paraId="2CCFFC4C" w14:textId="77777777" w:rsidR="00790C12" w:rsidRPr="00743F00" w:rsidRDefault="00790C12" w:rsidP="00B35EE7">
            <w:pPr>
              <w:jc w:val="both"/>
              <w:rPr>
                <w:b/>
              </w:rPr>
            </w:pPr>
            <w:r w:rsidRPr="00743F00">
              <w:rPr>
                <w:b/>
              </w:rPr>
              <w:t>Wydatki inwestycyjne</w:t>
            </w:r>
          </w:p>
        </w:tc>
      </w:tr>
    </w:tbl>
    <w:p w14:paraId="47FD845E" w14:textId="77777777" w:rsidR="00790C12" w:rsidRPr="00743F00" w:rsidRDefault="00790C12" w:rsidP="00F37211">
      <w:pPr>
        <w:spacing w:after="0"/>
        <w:jc w:val="both"/>
      </w:pPr>
    </w:p>
    <w:p w14:paraId="63CBF55E" w14:textId="77777777" w:rsidR="00790C12" w:rsidRDefault="00142096" w:rsidP="00142096">
      <w:pPr>
        <w:contextualSpacing/>
        <w:jc w:val="both"/>
      </w:pPr>
      <w:r w:rsidRPr="00743F00">
        <w:t xml:space="preserve">1. </w:t>
      </w:r>
      <w:r w:rsidR="00790C12" w:rsidRPr="00743F00">
        <w:rPr>
          <w:b/>
        </w:rPr>
        <w:t>W przypadku jednostek spoza sektora finansów publicznych</w:t>
      </w:r>
      <w:r w:rsidR="00790C12" w:rsidRPr="00743F00">
        <w:t xml:space="preserve"> </w:t>
      </w:r>
      <w:r w:rsidR="00790C12" w:rsidRPr="00743F00">
        <w:rPr>
          <w:b/>
        </w:rPr>
        <w:t>za wydatki inwestycyjne uznaje się wydatki planowane do poniesienia w ramach kategorii cross-</w:t>
      </w:r>
      <w:proofErr w:type="spellStart"/>
      <w:r w:rsidR="00790C12" w:rsidRPr="00743F00">
        <w:rPr>
          <w:b/>
        </w:rPr>
        <w:t>financing</w:t>
      </w:r>
      <w:proofErr w:type="spellEnd"/>
      <w:r w:rsidR="00790C12" w:rsidRPr="00743F00">
        <w:rPr>
          <w:b/>
        </w:rPr>
        <w:t>, których wartość jednostkowa przekracza kwotę 10.000 zł oraz wydatki na zakup środków trwałych</w:t>
      </w:r>
      <w:r w:rsidR="00790C12" w:rsidRPr="00743F00">
        <w:rPr>
          <w:rStyle w:val="Odwoanieprzypisudolnego"/>
          <w:b/>
        </w:rPr>
        <w:footnoteReference w:id="1"/>
      </w:r>
      <w:r w:rsidR="00790C12" w:rsidRPr="00743F00">
        <w:rPr>
          <w:b/>
        </w:rPr>
        <w:t>, których wartość jednostkowa przekracza kwotę 10.000 z</w:t>
      </w:r>
      <w:r w:rsidR="004D5E58" w:rsidRPr="00743F00">
        <w:rPr>
          <w:b/>
        </w:rPr>
        <w:t>ł</w:t>
      </w:r>
      <w:r w:rsidR="00790C12" w:rsidRPr="00743F00">
        <w:rPr>
          <w:b/>
        </w:rPr>
        <w:t xml:space="preserve">. </w:t>
      </w:r>
      <w:r w:rsidR="00790C12" w:rsidRPr="00743F00">
        <w:t xml:space="preserve">Wysokość środków przeznaczonych na sfinansowanie wydatków inwestycyjnych będzie określana na podstawie deklaracji składanych przez beneficjentów na etapie podpisywania umowy o dofinansowanie projektu. </w:t>
      </w:r>
    </w:p>
    <w:p w14:paraId="22911495" w14:textId="77777777" w:rsidR="007E0D58" w:rsidRPr="00743F00" w:rsidRDefault="007E0D58" w:rsidP="00142096">
      <w:pPr>
        <w:contextualSpacing/>
        <w:jc w:val="both"/>
      </w:pPr>
    </w:p>
    <w:p w14:paraId="32CF4E27" w14:textId="77777777" w:rsidR="00790C12" w:rsidRPr="00743F00" w:rsidRDefault="00790C12" w:rsidP="00142096">
      <w:pPr>
        <w:jc w:val="both"/>
      </w:pPr>
      <w:r w:rsidRPr="00743F00">
        <w:t>Środki na sfinansowanie wydatków inwestycyjnych ponoszonych przez beneficjentów będących jednostkami spoza sektora finansów publicznych będą przekazywane przez IZ RPO WK-P w paragrafie 620 klasyfikacji budżetowej.</w:t>
      </w:r>
    </w:p>
    <w:p w14:paraId="55F60695" w14:textId="77777777" w:rsidR="00790C12" w:rsidRPr="00743F00" w:rsidRDefault="00790C12" w:rsidP="00142096">
      <w:pPr>
        <w:spacing w:after="0"/>
        <w:jc w:val="both"/>
      </w:pPr>
      <w:r w:rsidRPr="00743F00"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spoza sektora finansów publicznych wydatki inwestycyjne w całości ponoszone będą przez beneficjentów ze środków dofinansowania</w:t>
      </w:r>
      <w:r w:rsidRPr="00743F00">
        <w:rPr>
          <w:rStyle w:val="Odwoanieprzypisudolnego"/>
        </w:rPr>
        <w:footnoteReference w:id="2"/>
      </w:r>
      <w:r w:rsidRPr="00743F00">
        <w:t>, wkład własny natomiast w całości przeznaczony będzie na sfinansowanie ponoszonych przez beneficjentów wydatków bieżących.</w:t>
      </w:r>
    </w:p>
    <w:p w14:paraId="5A6768DB" w14:textId="77777777" w:rsidR="00790C12" w:rsidRPr="00743F00" w:rsidRDefault="00790C12" w:rsidP="00790C12">
      <w:pPr>
        <w:spacing w:after="0"/>
        <w:ind w:left="708"/>
        <w:jc w:val="both"/>
      </w:pPr>
    </w:p>
    <w:p w14:paraId="4C2E7485" w14:textId="77777777" w:rsidR="00790C12" w:rsidRDefault="00142096" w:rsidP="00142096">
      <w:pPr>
        <w:contextualSpacing/>
        <w:jc w:val="both"/>
      </w:pPr>
      <w:r w:rsidRPr="00743F00">
        <w:t xml:space="preserve">2. </w:t>
      </w:r>
      <w:r w:rsidR="00790C12" w:rsidRPr="00743F00">
        <w:rPr>
          <w:b/>
        </w:rPr>
        <w:t>W przypadku jednostek sektora finansów publicznych – za wydatki inwestycyjne uznaje się wydatki planowane do poniesienia w ramach kategorii cross-</w:t>
      </w:r>
      <w:proofErr w:type="spellStart"/>
      <w:r w:rsidR="00790C12" w:rsidRPr="00743F00">
        <w:rPr>
          <w:b/>
        </w:rPr>
        <w:t>financing</w:t>
      </w:r>
      <w:proofErr w:type="spellEnd"/>
      <w:r w:rsidR="00790C12" w:rsidRPr="00743F00">
        <w:rPr>
          <w:b/>
        </w:rPr>
        <w:t>, których wartość jednostkowa przekracza kwotę 10.000 zł oraz wydatki na zakup środków trwałych</w:t>
      </w:r>
      <w:r w:rsidR="00790C12" w:rsidRPr="00743F00">
        <w:rPr>
          <w:b/>
          <w:vertAlign w:val="superscript"/>
        </w:rPr>
        <w:t>1</w:t>
      </w:r>
      <w:r w:rsidR="00790C12" w:rsidRPr="00743F00">
        <w:rPr>
          <w:b/>
        </w:rPr>
        <w:t>, których wartość jednostkowa przek</w:t>
      </w:r>
      <w:r w:rsidR="004D5E58" w:rsidRPr="00743F00">
        <w:rPr>
          <w:b/>
        </w:rPr>
        <w:t xml:space="preserve">racza kwotę 10.000 zł </w:t>
      </w:r>
      <w:r w:rsidR="00790C12" w:rsidRPr="00743F00">
        <w:rPr>
          <w:b/>
        </w:rPr>
        <w:t>– o ile polityka rachunkowości danej jednostki bądź inne przepisy nie stanowią inaczej.</w:t>
      </w:r>
      <w:r w:rsidR="00790C12" w:rsidRPr="00743F00">
        <w:t xml:space="preserve"> Wysokość środków przeznaczonych na sfinansowanie wydatków inwestycyjnych będzie określana na podstawie deklaracji składanych przez beneficjentów na etapie podpisywania umowy o dofinansowanie projektu.</w:t>
      </w:r>
    </w:p>
    <w:p w14:paraId="2D38FFCA" w14:textId="77777777" w:rsidR="007E0D58" w:rsidRPr="00743F00" w:rsidRDefault="007E0D58" w:rsidP="00142096">
      <w:pPr>
        <w:contextualSpacing/>
        <w:jc w:val="both"/>
      </w:pPr>
    </w:p>
    <w:p w14:paraId="7EB9AA51" w14:textId="77777777" w:rsidR="00790C12" w:rsidRDefault="00790C12" w:rsidP="00142096">
      <w:pPr>
        <w:spacing w:after="0"/>
        <w:jc w:val="both"/>
      </w:pPr>
      <w:r w:rsidRPr="00743F00">
        <w:t>Środki na sfinansowanie wydatków inwestycyjnych ponoszonych przez beneficjentów będących jednostkami samorządu terytorialnego będą przekazywane przez IZ RPO WK-P w paragrafie 625 klasyfikacji budżetowej, natomiast środki na sfinansowanie wydatków inwestycyjnych ponoszonych przez beneficjentów będących jednostkami sektora finansów publicznych i nie będących jednostkami samorządu terytorialnego będą przekazywane przez IZ RPO WK-P w paragrafie 620 klasyfikacji budżetowej.</w:t>
      </w:r>
    </w:p>
    <w:p w14:paraId="33C7DFA3" w14:textId="77777777" w:rsidR="007E0D58" w:rsidRPr="00743F00" w:rsidRDefault="007E0D58" w:rsidP="00142096">
      <w:pPr>
        <w:spacing w:after="0"/>
        <w:jc w:val="both"/>
      </w:pPr>
    </w:p>
    <w:p w14:paraId="15DB2D96" w14:textId="77777777" w:rsidR="00790C12" w:rsidRPr="00743F00" w:rsidRDefault="00790C12" w:rsidP="00142096">
      <w:pPr>
        <w:spacing w:after="0"/>
        <w:jc w:val="both"/>
      </w:pPr>
      <w:r w:rsidRPr="00743F00"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sektora finansów publicznych, wydatki inwestycyjne, jak również wydatki bieżące, ponoszone będą przez beneficjentów w podziale na źródła finansowania, zgodnym z metodologią zadeklarowaną przez beneficjentów.</w:t>
      </w:r>
    </w:p>
    <w:p w14:paraId="14707DE8" w14:textId="77777777" w:rsidR="00142096" w:rsidRPr="00743F00" w:rsidRDefault="00142096" w:rsidP="001F4246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096" w:rsidRPr="00743F00" w14:paraId="619390D2" w14:textId="77777777" w:rsidTr="00DE5114">
        <w:tc>
          <w:tcPr>
            <w:tcW w:w="9212" w:type="dxa"/>
            <w:shd w:val="clear" w:color="auto" w:fill="BFBFBF" w:themeFill="background1" w:themeFillShade="BF"/>
          </w:tcPr>
          <w:p w14:paraId="3A9AD96A" w14:textId="77777777" w:rsidR="00142096" w:rsidRPr="00743F00" w:rsidRDefault="00142096" w:rsidP="00DE5114">
            <w:pPr>
              <w:pStyle w:val="Nagwek3"/>
              <w:outlineLvl w:val="2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743F00">
              <w:rPr>
                <w:rFonts w:asciiTheme="minorHAnsi" w:hAnsiTheme="minorHAnsi"/>
                <w:noProof/>
                <w:sz w:val="22"/>
                <w:szCs w:val="22"/>
              </w:rPr>
              <w:t xml:space="preserve">Zakaz podwójnego finansowania  </w:t>
            </w:r>
          </w:p>
        </w:tc>
      </w:tr>
    </w:tbl>
    <w:p w14:paraId="7527B5E8" w14:textId="77777777" w:rsidR="00142096" w:rsidRPr="00743F00" w:rsidRDefault="00142096" w:rsidP="00142096">
      <w:pPr>
        <w:pStyle w:val="Nagwek3"/>
        <w:rPr>
          <w:rFonts w:asciiTheme="minorHAnsi" w:hAnsiTheme="minorHAnsi"/>
          <w:noProof/>
          <w:sz w:val="22"/>
          <w:szCs w:val="22"/>
        </w:rPr>
      </w:pPr>
    </w:p>
    <w:p w14:paraId="0F7A7B85" w14:textId="77777777" w:rsidR="00142096" w:rsidRPr="00743F00" w:rsidRDefault="00142096" w:rsidP="00657967">
      <w:pPr>
        <w:spacing w:after="0"/>
        <w:jc w:val="both"/>
      </w:pPr>
      <w:r w:rsidRPr="00743F00">
        <w:t>W ramach projektów współfinansowanych ze środków Unii Europejskiej niedozwolone jest podwójne finansowanie wydatków. Podwójne finansowanie oznacza w szczególności:</w:t>
      </w:r>
    </w:p>
    <w:p w14:paraId="68E16911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</w:pPr>
      <w:r w:rsidRPr="00743F00">
        <w:t>całkowite lub częściowe, więcej niż jednokrotne poświadczenie, zrefundowanie lub rozliczenie tego samego wydatku w ramach dofinansowania lub wkładu własnego tego samego lub różnych projektów współfinansowanych ze środków funduszy strukturalnych lub Funduszu Spójności lub/oraz dotacji z krajowych środków publicznych,</w:t>
      </w:r>
    </w:p>
    <w:p w14:paraId="2A88A385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</w:pPr>
      <w:r w:rsidRPr="00743F00">
        <w:t>otrzymanie na wydatki kwalifikowalne danego projektu lub części projektu bezzwrotnej pomocy finansowej z kilku źródeł (krajowych, unijnych lub innych) w wysokości łącznie wyższej niż 100% wydatków kwalifikowalnych projektu lub części projektu,</w:t>
      </w:r>
    </w:p>
    <w:p w14:paraId="56F5DFD6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</w:pPr>
      <w:r w:rsidRPr="00743F00">
        <w:t>poświadczenie, zrefundowanie lub rozliczenie kosztów podatku VAT ze środków funduszy strukturalnych lub Funduszu Spójności, a następnie odzyskanie tego podatku ze środków budżetu państwa na podstawie ustawy z dnia 11 marca 2004 r. o podatku od towarów i usług,</w:t>
      </w:r>
    </w:p>
    <w:p w14:paraId="3198E943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</w:pPr>
      <w:r w:rsidRPr="00743F00">
        <w:t>zakupienie środka trwałego z udziałem środków unijnych lub/oraz dotacji z krajowych środków publicznych, a następnie rozliczenie kosztów amortyzacji tego środka trwałego w ramach tego samego projektu lub innych współfinansowanych ze środków Unii Europejskiej,</w:t>
      </w:r>
    </w:p>
    <w:p w14:paraId="523984FB" w14:textId="77777777" w:rsidR="00142096" w:rsidRPr="00743F00" w:rsidRDefault="00142096" w:rsidP="00657967">
      <w:pPr>
        <w:spacing w:after="0"/>
        <w:ind w:left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142096" w:rsidRPr="00743F00" w14:paraId="7F330E1C" w14:textId="77777777" w:rsidTr="00DE5114">
        <w:trPr>
          <w:trHeight w:val="1675"/>
        </w:trPr>
        <w:tc>
          <w:tcPr>
            <w:tcW w:w="9755" w:type="dxa"/>
            <w:shd w:val="clear" w:color="auto" w:fill="F2F2F2"/>
          </w:tcPr>
          <w:p w14:paraId="03AF82A1" w14:textId="77777777" w:rsidR="00142096" w:rsidRPr="00743F00" w:rsidRDefault="00142096" w:rsidP="00657967">
            <w:pPr>
              <w:spacing w:after="0"/>
              <w:jc w:val="both"/>
            </w:pPr>
            <w:r w:rsidRPr="00743F00">
              <w:rPr>
                <w:b/>
              </w:rPr>
              <w:t>UWAGA!</w:t>
            </w:r>
            <w:r w:rsidRPr="00743F00">
              <w:br/>
              <w:t>Oznacza to także, że niedozwolona jest sytuacja, w której najpierw środek trwały został nabyty z udziałem środków unijnych, a następnie odpisy amortyzacyjne od pełnej wartości danego środka trwałego zostały zaliczone do kosztów uzyskania przychodów, bez pomniejszenia wartości środka trwałego o otrzymane dofinansowanie.</w:t>
            </w:r>
          </w:p>
        </w:tc>
      </w:tr>
    </w:tbl>
    <w:p w14:paraId="64B14E24" w14:textId="77777777" w:rsidR="00657967" w:rsidRPr="00743F00" w:rsidRDefault="00657967" w:rsidP="00657967">
      <w:pPr>
        <w:spacing w:after="0"/>
        <w:ind w:left="720"/>
        <w:jc w:val="both"/>
      </w:pPr>
    </w:p>
    <w:p w14:paraId="010FB298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</w:pPr>
      <w:r w:rsidRPr="00743F00">
        <w:t>zrefundowanie wydatku poniesionego przez leasingodawcę na zakup przedmiotu leasingu w ramach leasingu finansowego, a następnie zrefundowanie rat opłacanych przez beneficjenta w związku z leasingiem tego przedmiotu,</w:t>
      </w:r>
    </w:p>
    <w:p w14:paraId="524319D4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</w:pPr>
      <w:r w:rsidRPr="00743F00">
        <w:t>sytuacja, w której środki na prefinansowanie wkładu unijnego zostały pozyskane w formie kredytu lub pożyczki, które następnie zostały umorzone,</w:t>
      </w:r>
    </w:p>
    <w:p w14:paraId="7342C516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</w:pPr>
      <w:r w:rsidRPr="00743F00">
        <w:t>objęcie kosztów kwalifikowalnych projektu jednocześnie wsparciem pożyczkowym i gwarancyjnym,</w:t>
      </w:r>
    </w:p>
    <w:p w14:paraId="638FD7F3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</w:pPr>
      <w:r w:rsidRPr="00743F00">
        <w:t>zakup używanego środka trwałego, który w ciągu 7 poprzednich lat (10 lat dla nieruchomości) był współfinansowany ze środków Unii Europejskiej lub/oraz dotacji z krajowych środków publicznych,</w:t>
      </w:r>
    </w:p>
    <w:p w14:paraId="205C61F7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</w:pPr>
      <w:r w:rsidRPr="00743F00">
        <w:t>rozliczenie tego samego wydatku w kosztach pośrednich oraz kosztach bezpośrednich projektu.</w:t>
      </w:r>
    </w:p>
    <w:p w14:paraId="13270EA9" w14:textId="77777777" w:rsidR="00142096" w:rsidRPr="00743F00" w:rsidRDefault="00142096" w:rsidP="00790C12">
      <w:pPr>
        <w:jc w:val="both"/>
      </w:pPr>
    </w:p>
    <w:sectPr w:rsidR="00142096" w:rsidRPr="00743F00" w:rsidSect="005E010C">
      <w:headerReference w:type="first" r:id="rId9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8F898" w14:textId="77777777" w:rsidR="005F3E5C" w:rsidRPr="00A449D2" w:rsidRDefault="005F3E5C" w:rsidP="00A449D2">
      <w:pPr>
        <w:spacing w:after="0" w:line="240" w:lineRule="auto"/>
      </w:pPr>
      <w:r>
        <w:separator/>
      </w:r>
    </w:p>
  </w:endnote>
  <w:endnote w:type="continuationSeparator" w:id="0">
    <w:p w14:paraId="690F462D" w14:textId="77777777" w:rsidR="005F3E5C" w:rsidRPr="00A449D2" w:rsidRDefault="005F3E5C" w:rsidP="00A4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E17FD" w14:textId="77777777" w:rsidR="005F3E5C" w:rsidRPr="00A449D2" w:rsidRDefault="005F3E5C" w:rsidP="00A449D2">
      <w:pPr>
        <w:spacing w:after="0" w:line="240" w:lineRule="auto"/>
      </w:pPr>
      <w:r>
        <w:separator/>
      </w:r>
    </w:p>
  </w:footnote>
  <w:footnote w:type="continuationSeparator" w:id="0">
    <w:p w14:paraId="7B2EBCB3" w14:textId="77777777" w:rsidR="005F3E5C" w:rsidRPr="00A449D2" w:rsidRDefault="005F3E5C" w:rsidP="00A449D2">
      <w:pPr>
        <w:spacing w:after="0" w:line="240" w:lineRule="auto"/>
      </w:pPr>
      <w:r>
        <w:continuationSeparator/>
      </w:r>
    </w:p>
  </w:footnote>
  <w:footnote w:id="1">
    <w:p w14:paraId="681186EB" w14:textId="77777777" w:rsidR="00DE5114" w:rsidRPr="00790C12" w:rsidRDefault="00DE5114" w:rsidP="00F37211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  <w:r w:rsidRPr="00790C12">
        <w:rPr>
          <w:rStyle w:val="Odwoanieprzypisudolnego"/>
          <w:rFonts w:ascii="Calibri" w:hAnsi="Calibri"/>
          <w:sz w:val="18"/>
          <w:szCs w:val="18"/>
        </w:rPr>
        <w:footnoteRef/>
      </w:r>
      <w:r w:rsidRPr="00790C12">
        <w:rPr>
          <w:rFonts w:ascii="Calibri" w:hAnsi="Calibri"/>
          <w:sz w:val="18"/>
          <w:szCs w:val="18"/>
        </w:rPr>
        <w:t xml:space="preserve"> Środki trwałe - zgodnie z art. 3 ust. 1 pkt 15 ustawy z dnia 29 września 1994 r. o rachunkowości, z zastrzeżeniem inwestycji, o których mowa w art. 3 ust. 1 pkt 17 tej ustawy, rzeczowe aktywa trwałe i zrównane z nimi o przewidywanym okresie ekonomicznej użyteczności dłuższym niż rok, kompletne, zdatne do użytku i przeznaczone na potrzeby jednostki organizacyjnej; zalicza się do nich w szczególności: nieruchomości – w tym grunty, prawo użytkowania wieczystego gruntu, budynki i budowle, a także będące odrębną własności lokale, spółdzielcze prawo własnościowe do lokalu mieszkalnego oraz spółdzielcze prawo do lokalu użytkowego, maszyny, urządzenia, środki transportu i inne rzeczy, ulepszenia w obcych środkach trwałych, inwentarz żywy. </w:t>
      </w:r>
    </w:p>
  </w:footnote>
  <w:footnote w:id="2">
    <w:p w14:paraId="0371E26E" w14:textId="77777777" w:rsidR="00DE5114" w:rsidRPr="00695713" w:rsidRDefault="00DE5114" w:rsidP="00F37211">
      <w:pPr>
        <w:pStyle w:val="Tekstprzypisudolnego"/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790C12">
        <w:rPr>
          <w:rStyle w:val="Odwoanieprzypisudolnego"/>
          <w:sz w:val="18"/>
          <w:szCs w:val="18"/>
        </w:rPr>
        <w:footnoteRef/>
      </w:r>
      <w:r w:rsidRPr="00790C12">
        <w:rPr>
          <w:sz w:val="18"/>
          <w:szCs w:val="18"/>
        </w:rPr>
        <w:t xml:space="preserve"> Z wyłączeniem sytuacji, w których beneficjenci będący jednostkami spoza sektora finansów publicznych będą wnosić do projektu wkład własny w postaci środków trwałych.</w:t>
      </w:r>
      <w:r w:rsidRPr="00695713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BF2FA" w14:textId="77777777" w:rsidR="00DE5114" w:rsidRDefault="00DE5114">
    <w:pPr>
      <w:pStyle w:val="Nagwek"/>
    </w:pPr>
    <w:r w:rsidRPr="003F48CD">
      <w:rPr>
        <w:noProof/>
        <w:lang w:eastAsia="pl-PL"/>
      </w:rPr>
      <w:drawing>
        <wp:inline distT="0" distB="0" distL="0" distR="0" wp14:anchorId="527EB0DC" wp14:editId="6153D4A4">
          <wp:extent cx="5760720" cy="817245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6BC5"/>
    <w:multiLevelType w:val="hybridMultilevel"/>
    <w:tmpl w:val="F810315E"/>
    <w:lvl w:ilvl="0" w:tplc="853E0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711EDE"/>
    <w:multiLevelType w:val="hybridMultilevel"/>
    <w:tmpl w:val="AEA4384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F528A"/>
    <w:multiLevelType w:val="multilevel"/>
    <w:tmpl w:val="E452DB1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Arial" w:hint="default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5631B2"/>
    <w:multiLevelType w:val="hybridMultilevel"/>
    <w:tmpl w:val="59BAA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F5245"/>
    <w:multiLevelType w:val="hybridMultilevel"/>
    <w:tmpl w:val="F3F81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4F2913"/>
    <w:multiLevelType w:val="hybridMultilevel"/>
    <w:tmpl w:val="FF0C139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57808ED"/>
    <w:multiLevelType w:val="hybridMultilevel"/>
    <w:tmpl w:val="62F26E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F5C8E"/>
    <w:multiLevelType w:val="hybridMultilevel"/>
    <w:tmpl w:val="0BBEB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E7"/>
    <w:rsid w:val="000020FD"/>
    <w:rsid w:val="00004048"/>
    <w:rsid w:val="00010A7D"/>
    <w:rsid w:val="000234B2"/>
    <w:rsid w:val="00024D90"/>
    <w:rsid w:val="00026E9B"/>
    <w:rsid w:val="000426A4"/>
    <w:rsid w:val="00044D37"/>
    <w:rsid w:val="00057712"/>
    <w:rsid w:val="00061B95"/>
    <w:rsid w:val="00063790"/>
    <w:rsid w:val="0006427B"/>
    <w:rsid w:val="00066735"/>
    <w:rsid w:val="00066EAF"/>
    <w:rsid w:val="000706E9"/>
    <w:rsid w:val="00081226"/>
    <w:rsid w:val="000901A0"/>
    <w:rsid w:val="000905C4"/>
    <w:rsid w:val="000924E9"/>
    <w:rsid w:val="000B16A7"/>
    <w:rsid w:val="000B430D"/>
    <w:rsid w:val="000B5C15"/>
    <w:rsid w:val="000D063A"/>
    <w:rsid w:val="000E003F"/>
    <w:rsid w:val="000E09E1"/>
    <w:rsid w:val="000E50A3"/>
    <w:rsid w:val="000E566A"/>
    <w:rsid w:val="000E7CF2"/>
    <w:rsid w:val="000F228E"/>
    <w:rsid w:val="000F77E7"/>
    <w:rsid w:val="00101B1E"/>
    <w:rsid w:val="00107343"/>
    <w:rsid w:val="00113AF7"/>
    <w:rsid w:val="0011616B"/>
    <w:rsid w:val="001250C4"/>
    <w:rsid w:val="00126AA3"/>
    <w:rsid w:val="001329B9"/>
    <w:rsid w:val="00135DEE"/>
    <w:rsid w:val="001378B1"/>
    <w:rsid w:val="00142096"/>
    <w:rsid w:val="001457B7"/>
    <w:rsid w:val="00146641"/>
    <w:rsid w:val="001552BC"/>
    <w:rsid w:val="00156A1D"/>
    <w:rsid w:val="00162AA8"/>
    <w:rsid w:val="00186DC3"/>
    <w:rsid w:val="00187D0D"/>
    <w:rsid w:val="00194B9B"/>
    <w:rsid w:val="001B2E2E"/>
    <w:rsid w:val="001B5959"/>
    <w:rsid w:val="001C0525"/>
    <w:rsid w:val="001C0A01"/>
    <w:rsid w:val="001C645B"/>
    <w:rsid w:val="001C7AD2"/>
    <w:rsid w:val="001D741C"/>
    <w:rsid w:val="001E2AA8"/>
    <w:rsid w:val="001F0233"/>
    <w:rsid w:val="001F08D9"/>
    <w:rsid w:val="001F4246"/>
    <w:rsid w:val="00203C52"/>
    <w:rsid w:val="0021033D"/>
    <w:rsid w:val="00227784"/>
    <w:rsid w:val="00231098"/>
    <w:rsid w:val="00232600"/>
    <w:rsid w:val="00235471"/>
    <w:rsid w:val="0023583E"/>
    <w:rsid w:val="0024013C"/>
    <w:rsid w:val="00250DB2"/>
    <w:rsid w:val="00261415"/>
    <w:rsid w:val="00263195"/>
    <w:rsid w:val="00272332"/>
    <w:rsid w:val="00277447"/>
    <w:rsid w:val="00284C9C"/>
    <w:rsid w:val="00284CE0"/>
    <w:rsid w:val="00293DCB"/>
    <w:rsid w:val="002B2FF5"/>
    <w:rsid w:val="002B6F9D"/>
    <w:rsid w:val="002E3347"/>
    <w:rsid w:val="002E6C6B"/>
    <w:rsid w:val="002F0922"/>
    <w:rsid w:val="002F560B"/>
    <w:rsid w:val="003007C0"/>
    <w:rsid w:val="00302BDD"/>
    <w:rsid w:val="00312F1A"/>
    <w:rsid w:val="0031425A"/>
    <w:rsid w:val="00316BCF"/>
    <w:rsid w:val="00317BB1"/>
    <w:rsid w:val="00320698"/>
    <w:rsid w:val="00325D62"/>
    <w:rsid w:val="00326E37"/>
    <w:rsid w:val="00330C45"/>
    <w:rsid w:val="003324D8"/>
    <w:rsid w:val="00340ADB"/>
    <w:rsid w:val="00343D6B"/>
    <w:rsid w:val="00344FC2"/>
    <w:rsid w:val="00360451"/>
    <w:rsid w:val="003701ED"/>
    <w:rsid w:val="0037725C"/>
    <w:rsid w:val="00380438"/>
    <w:rsid w:val="003860BD"/>
    <w:rsid w:val="00387094"/>
    <w:rsid w:val="003B1302"/>
    <w:rsid w:val="003B2542"/>
    <w:rsid w:val="003C0A79"/>
    <w:rsid w:val="003C7367"/>
    <w:rsid w:val="003D6FC7"/>
    <w:rsid w:val="003E08ED"/>
    <w:rsid w:val="003E370F"/>
    <w:rsid w:val="003F102F"/>
    <w:rsid w:val="003F48CD"/>
    <w:rsid w:val="003F4B5A"/>
    <w:rsid w:val="003F7936"/>
    <w:rsid w:val="00400EE6"/>
    <w:rsid w:val="00413CE9"/>
    <w:rsid w:val="00415F82"/>
    <w:rsid w:val="00430D91"/>
    <w:rsid w:val="00437D2C"/>
    <w:rsid w:val="00440B40"/>
    <w:rsid w:val="004463B3"/>
    <w:rsid w:val="00447028"/>
    <w:rsid w:val="00451B06"/>
    <w:rsid w:val="00454F2D"/>
    <w:rsid w:val="004718E5"/>
    <w:rsid w:val="004744C9"/>
    <w:rsid w:val="00481DCC"/>
    <w:rsid w:val="004829D4"/>
    <w:rsid w:val="004A2FAC"/>
    <w:rsid w:val="004C5CCF"/>
    <w:rsid w:val="004C7E68"/>
    <w:rsid w:val="004D39B1"/>
    <w:rsid w:val="004D5E58"/>
    <w:rsid w:val="004E0FB6"/>
    <w:rsid w:val="004E31B9"/>
    <w:rsid w:val="004E4178"/>
    <w:rsid w:val="00511A0F"/>
    <w:rsid w:val="00512245"/>
    <w:rsid w:val="0052415F"/>
    <w:rsid w:val="00534339"/>
    <w:rsid w:val="005376DF"/>
    <w:rsid w:val="005439A6"/>
    <w:rsid w:val="005478C4"/>
    <w:rsid w:val="00552C8F"/>
    <w:rsid w:val="00555B63"/>
    <w:rsid w:val="00582C3B"/>
    <w:rsid w:val="00587E8E"/>
    <w:rsid w:val="005A7498"/>
    <w:rsid w:val="005B5B5F"/>
    <w:rsid w:val="005C007F"/>
    <w:rsid w:val="005C148A"/>
    <w:rsid w:val="005C7C0C"/>
    <w:rsid w:val="005D1BE0"/>
    <w:rsid w:val="005D65CA"/>
    <w:rsid w:val="005D7716"/>
    <w:rsid w:val="005E0052"/>
    <w:rsid w:val="005E010C"/>
    <w:rsid w:val="005E30F2"/>
    <w:rsid w:val="005E4044"/>
    <w:rsid w:val="005E4F96"/>
    <w:rsid w:val="005F3E5C"/>
    <w:rsid w:val="006011FE"/>
    <w:rsid w:val="00611C64"/>
    <w:rsid w:val="00621676"/>
    <w:rsid w:val="00636C2C"/>
    <w:rsid w:val="006379BA"/>
    <w:rsid w:val="006425F8"/>
    <w:rsid w:val="006452CF"/>
    <w:rsid w:val="00646605"/>
    <w:rsid w:val="00646734"/>
    <w:rsid w:val="00647A5C"/>
    <w:rsid w:val="00651ACB"/>
    <w:rsid w:val="00657967"/>
    <w:rsid w:val="00664274"/>
    <w:rsid w:val="0066584D"/>
    <w:rsid w:val="00667C73"/>
    <w:rsid w:val="0069292A"/>
    <w:rsid w:val="00695734"/>
    <w:rsid w:val="006A3EB1"/>
    <w:rsid w:val="006A4596"/>
    <w:rsid w:val="006B1E5B"/>
    <w:rsid w:val="006B7152"/>
    <w:rsid w:val="006B764E"/>
    <w:rsid w:val="006C0847"/>
    <w:rsid w:val="006C1CDA"/>
    <w:rsid w:val="006C721E"/>
    <w:rsid w:val="006D20E2"/>
    <w:rsid w:val="006D39B5"/>
    <w:rsid w:val="006E29A5"/>
    <w:rsid w:val="006E55B1"/>
    <w:rsid w:val="006E789B"/>
    <w:rsid w:val="006F3598"/>
    <w:rsid w:val="006F6AFC"/>
    <w:rsid w:val="006F7B07"/>
    <w:rsid w:val="00702999"/>
    <w:rsid w:val="00704A09"/>
    <w:rsid w:val="0070586A"/>
    <w:rsid w:val="0070638D"/>
    <w:rsid w:val="007115BD"/>
    <w:rsid w:val="00712236"/>
    <w:rsid w:val="00717C32"/>
    <w:rsid w:val="0072338C"/>
    <w:rsid w:val="00733EDF"/>
    <w:rsid w:val="00735ABE"/>
    <w:rsid w:val="00743F00"/>
    <w:rsid w:val="00755573"/>
    <w:rsid w:val="00757796"/>
    <w:rsid w:val="00761823"/>
    <w:rsid w:val="007655B7"/>
    <w:rsid w:val="007857FB"/>
    <w:rsid w:val="00787189"/>
    <w:rsid w:val="00790C12"/>
    <w:rsid w:val="00790D95"/>
    <w:rsid w:val="007B086D"/>
    <w:rsid w:val="007B1EA0"/>
    <w:rsid w:val="007B4F28"/>
    <w:rsid w:val="007B53A9"/>
    <w:rsid w:val="007C4DF2"/>
    <w:rsid w:val="007C5A4C"/>
    <w:rsid w:val="007D0D67"/>
    <w:rsid w:val="007D52C8"/>
    <w:rsid w:val="007D708A"/>
    <w:rsid w:val="007E0D58"/>
    <w:rsid w:val="007F00AC"/>
    <w:rsid w:val="007F1A33"/>
    <w:rsid w:val="007F51A0"/>
    <w:rsid w:val="0080082E"/>
    <w:rsid w:val="00827C4A"/>
    <w:rsid w:val="00832770"/>
    <w:rsid w:val="00833D78"/>
    <w:rsid w:val="00836AF9"/>
    <w:rsid w:val="00854309"/>
    <w:rsid w:val="00860272"/>
    <w:rsid w:val="00861DDD"/>
    <w:rsid w:val="00882A59"/>
    <w:rsid w:val="00883E32"/>
    <w:rsid w:val="0088401C"/>
    <w:rsid w:val="00894657"/>
    <w:rsid w:val="008974D1"/>
    <w:rsid w:val="008A0FB1"/>
    <w:rsid w:val="008A13A2"/>
    <w:rsid w:val="008B7F80"/>
    <w:rsid w:val="008C1A4D"/>
    <w:rsid w:val="008C276B"/>
    <w:rsid w:val="008D2047"/>
    <w:rsid w:val="008D667A"/>
    <w:rsid w:val="008E4ADA"/>
    <w:rsid w:val="008E519C"/>
    <w:rsid w:val="008F5344"/>
    <w:rsid w:val="00916B30"/>
    <w:rsid w:val="00926F59"/>
    <w:rsid w:val="00942450"/>
    <w:rsid w:val="00946068"/>
    <w:rsid w:val="00947BA1"/>
    <w:rsid w:val="00950AA7"/>
    <w:rsid w:val="0096141D"/>
    <w:rsid w:val="00964F85"/>
    <w:rsid w:val="00966023"/>
    <w:rsid w:val="009662BC"/>
    <w:rsid w:val="0097195D"/>
    <w:rsid w:val="00984130"/>
    <w:rsid w:val="009908DF"/>
    <w:rsid w:val="00992876"/>
    <w:rsid w:val="00995DB0"/>
    <w:rsid w:val="00996E39"/>
    <w:rsid w:val="009B7085"/>
    <w:rsid w:val="009D147A"/>
    <w:rsid w:val="009D4D3C"/>
    <w:rsid w:val="009E2F19"/>
    <w:rsid w:val="009E4220"/>
    <w:rsid w:val="009F282D"/>
    <w:rsid w:val="009F4CA4"/>
    <w:rsid w:val="00A012F1"/>
    <w:rsid w:val="00A142E0"/>
    <w:rsid w:val="00A151F6"/>
    <w:rsid w:val="00A215A1"/>
    <w:rsid w:val="00A22BB7"/>
    <w:rsid w:val="00A26A9E"/>
    <w:rsid w:val="00A27CA6"/>
    <w:rsid w:val="00A35ACC"/>
    <w:rsid w:val="00A35CAC"/>
    <w:rsid w:val="00A40CD2"/>
    <w:rsid w:val="00A449D2"/>
    <w:rsid w:val="00A51F26"/>
    <w:rsid w:val="00A56DFD"/>
    <w:rsid w:val="00A73C44"/>
    <w:rsid w:val="00A77B9D"/>
    <w:rsid w:val="00A945FF"/>
    <w:rsid w:val="00A96B87"/>
    <w:rsid w:val="00AA1BB1"/>
    <w:rsid w:val="00AA63D8"/>
    <w:rsid w:val="00AB1EDC"/>
    <w:rsid w:val="00AB4A3E"/>
    <w:rsid w:val="00AC0B2F"/>
    <w:rsid w:val="00AD0FE5"/>
    <w:rsid w:val="00AD1845"/>
    <w:rsid w:val="00AD1A6C"/>
    <w:rsid w:val="00B0100B"/>
    <w:rsid w:val="00B04F53"/>
    <w:rsid w:val="00B07242"/>
    <w:rsid w:val="00B27F6F"/>
    <w:rsid w:val="00B30923"/>
    <w:rsid w:val="00B32E65"/>
    <w:rsid w:val="00B33039"/>
    <w:rsid w:val="00B35EE7"/>
    <w:rsid w:val="00B40D04"/>
    <w:rsid w:val="00B41730"/>
    <w:rsid w:val="00B50B9A"/>
    <w:rsid w:val="00B57239"/>
    <w:rsid w:val="00B578F6"/>
    <w:rsid w:val="00B6299A"/>
    <w:rsid w:val="00B62E6D"/>
    <w:rsid w:val="00B64B89"/>
    <w:rsid w:val="00B705A4"/>
    <w:rsid w:val="00B73D9C"/>
    <w:rsid w:val="00B7730A"/>
    <w:rsid w:val="00B8090E"/>
    <w:rsid w:val="00B8124D"/>
    <w:rsid w:val="00B872BC"/>
    <w:rsid w:val="00B912C3"/>
    <w:rsid w:val="00B913D1"/>
    <w:rsid w:val="00BA4419"/>
    <w:rsid w:val="00BA7C53"/>
    <w:rsid w:val="00BB7AED"/>
    <w:rsid w:val="00BC1171"/>
    <w:rsid w:val="00BD26B5"/>
    <w:rsid w:val="00BE5E0A"/>
    <w:rsid w:val="00BF2CB0"/>
    <w:rsid w:val="00C072A6"/>
    <w:rsid w:val="00C0798F"/>
    <w:rsid w:val="00C07D73"/>
    <w:rsid w:val="00C1292F"/>
    <w:rsid w:val="00C154E8"/>
    <w:rsid w:val="00C215EE"/>
    <w:rsid w:val="00C2245F"/>
    <w:rsid w:val="00C22CA5"/>
    <w:rsid w:val="00C32BFF"/>
    <w:rsid w:val="00C32DCC"/>
    <w:rsid w:val="00C55A7A"/>
    <w:rsid w:val="00C55CE4"/>
    <w:rsid w:val="00C56FF1"/>
    <w:rsid w:val="00C64746"/>
    <w:rsid w:val="00C7029D"/>
    <w:rsid w:val="00C70D2D"/>
    <w:rsid w:val="00C94DFF"/>
    <w:rsid w:val="00C953F9"/>
    <w:rsid w:val="00C97A60"/>
    <w:rsid w:val="00CB32ED"/>
    <w:rsid w:val="00CC1DAD"/>
    <w:rsid w:val="00CC3D0C"/>
    <w:rsid w:val="00CD29AC"/>
    <w:rsid w:val="00CE0EF2"/>
    <w:rsid w:val="00CF18D0"/>
    <w:rsid w:val="00D01249"/>
    <w:rsid w:val="00D02FEF"/>
    <w:rsid w:val="00D04CFA"/>
    <w:rsid w:val="00D12B39"/>
    <w:rsid w:val="00D201F2"/>
    <w:rsid w:val="00D34A3B"/>
    <w:rsid w:val="00D35AEC"/>
    <w:rsid w:val="00D3622F"/>
    <w:rsid w:val="00D50047"/>
    <w:rsid w:val="00D52168"/>
    <w:rsid w:val="00D55E1F"/>
    <w:rsid w:val="00D6604D"/>
    <w:rsid w:val="00D81C36"/>
    <w:rsid w:val="00D944E4"/>
    <w:rsid w:val="00D96410"/>
    <w:rsid w:val="00DA1462"/>
    <w:rsid w:val="00DA3053"/>
    <w:rsid w:val="00DD5AD2"/>
    <w:rsid w:val="00DD738D"/>
    <w:rsid w:val="00DE086C"/>
    <w:rsid w:val="00DE5114"/>
    <w:rsid w:val="00E02C7C"/>
    <w:rsid w:val="00E07984"/>
    <w:rsid w:val="00E31F1E"/>
    <w:rsid w:val="00E32BAB"/>
    <w:rsid w:val="00E4170A"/>
    <w:rsid w:val="00E4227F"/>
    <w:rsid w:val="00E4630A"/>
    <w:rsid w:val="00E47B52"/>
    <w:rsid w:val="00E5287E"/>
    <w:rsid w:val="00E701DA"/>
    <w:rsid w:val="00E774D0"/>
    <w:rsid w:val="00E80A1B"/>
    <w:rsid w:val="00E86A0B"/>
    <w:rsid w:val="00E92BC5"/>
    <w:rsid w:val="00EB032C"/>
    <w:rsid w:val="00EB1203"/>
    <w:rsid w:val="00EB1FB1"/>
    <w:rsid w:val="00EC28DB"/>
    <w:rsid w:val="00ED12FD"/>
    <w:rsid w:val="00ED6F64"/>
    <w:rsid w:val="00ED73D7"/>
    <w:rsid w:val="00EE3BC9"/>
    <w:rsid w:val="00EF4346"/>
    <w:rsid w:val="00F056C9"/>
    <w:rsid w:val="00F20DE1"/>
    <w:rsid w:val="00F2591B"/>
    <w:rsid w:val="00F36959"/>
    <w:rsid w:val="00F37211"/>
    <w:rsid w:val="00F4165D"/>
    <w:rsid w:val="00F51CCE"/>
    <w:rsid w:val="00F57910"/>
    <w:rsid w:val="00F73C3E"/>
    <w:rsid w:val="00F95A14"/>
    <w:rsid w:val="00FA3FFC"/>
    <w:rsid w:val="00FA57D1"/>
    <w:rsid w:val="00FA5BDF"/>
    <w:rsid w:val="00FB1BB7"/>
    <w:rsid w:val="00FC27B5"/>
    <w:rsid w:val="00FC792B"/>
    <w:rsid w:val="00FE0C3B"/>
    <w:rsid w:val="00FE12B4"/>
    <w:rsid w:val="00FE1A25"/>
    <w:rsid w:val="00FE60DC"/>
    <w:rsid w:val="00FE70C3"/>
    <w:rsid w:val="00FF1937"/>
    <w:rsid w:val="00FF20B2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746566F4"/>
  <w15:docId w15:val="{521E2A8E-26A6-4C5C-A183-20E12134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DCB"/>
  </w:style>
  <w:style w:type="paragraph" w:styleId="Nagwek3">
    <w:name w:val="heading 3"/>
    <w:basedOn w:val="Normalny"/>
    <w:next w:val="Normalny"/>
    <w:link w:val="Nagwek3Znak"/>
    <w:uiPriority w:val="99"/>
    <w:qFormat/>
    <w:rsid w:val="00947BA1"/>
    <w:pPr>
      <w:keepNext/>
      <w:autoSpaceDE w:val="0"/>
      <w:autoSpaceDN w:val="0"/>
      <w:spacing w:after="0"/>
      <w:jc w:val="both"/>
      <w:outlineLvl w:val="2"/>
    </w:pPr>
    <w:rPr>
      <w:rFonts w:ascii="Calibri" w:eastAsia="Times New Roman" w:hAnsi="Calibri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B35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9D2"/>
  </w:style>
  <w:style w:type="paragraph" w:styleId="Stopka">
    <w:name w:val="footer"/>
    <w:basedOn w:val="Normalny"/>
    <w:link w:val="Stopka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9D2"/>
  </w:style>
  <w:style w:type="paragraph" w:styleId="Tekstdymka">
    <w:name w:val="Balloon Text"/>
    <w:basedOn w:val="Normalny"/>
    <w:link w:val="TekstdymkaZnak"/>
    <w:uiPriority w:val="99"/>
    <w:semiHidden/>
    <w:unhideWhenUsed/>
    <w:rsid w:val="00A4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9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5C0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0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0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07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5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C953F9"/>
    <w:pPr>
      <w:spacing w:before="200" w:after="0" w:line="320" w:lineRule="atLeast"/>
      <w:ind w:left="708"/>
    </w:pPr>
    <w:rPr>
      <w:rFonts w:ascii="Calibri" w:eastAsia="Calibri" w:hAnsi="Calibri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C953F9"/>
    <w:rPr>
      <w:rFonts w:ascii="Calibri" w:eastAsia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47BA1"/>
    <w:rPr>
      <w:rFonts w:ascii="Calibri" w:eastAsia="Times New Roman" w:hAnsi="Calibri" w:cs="Times New Roman"/>
      <w:b/>
      <w:bCs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90C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C12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C12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C07D73"/>
    <w:pPr>
      <w:spacing w:after="0" w:line="240" w:lineRule="auto"/>
    </w:pPr>
  </w:style>
  <w:style w:type="character" w:customStyle="1" w:styleId="DefaultZnak">
    <w:name w:val="Default Znak"/>
    <w:link w:val="Default"/>
    <w:rsid w:val="00A40CD2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22986-D957-4C26-BE5F-06CF7F668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18AC88-CE83-4F02-B0D0-A03C56A0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2706</Words>
  <Characters>16241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Dembińska</dc:creator>
  <cp:lastModifiedBy>Małgorzata Dembińska</cp:lastModifiedBy>
  <cp:revision>2</cp:revision>
  <cp:lastPrinted>2018-04-17T09:35:00Z</cp:lastPrinted>
  <dcterms:created xsi:type="dcterms:W3CDTF">2020-06-02T08:01:00Z</dcterms:created>
  <dcterms:modified xsi:type="dcterms:W3CDTF">2020-06-02T08:01:00Z</dcterms:modified>
</cp:coreProperties>
</file>